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55B" w:rsidRDefault="004C555B" w:rsidP="004C555B">
      <w:pPr>
        <w:spacing w:line="480" w:lineRule="auto"/>
        <w:rPr>
          <w:rFonts w:ascii="Times New Roman" w:hAnsi="Times New Roman" w:cs="Times New Roman"/>
          <w:b/>
          <w:sz w:val="24"/>
          <w:szCs w:val="24"/>
        </w:rPr>
      </w:pPr>
      <w:r w:rsidRPr="0033034A">
        <w:rPr>
          <w:rFonts w:ascii="Times New Roman" w:hAnsi="Times New Roman" w:cs="Times New Roman"/>
          <w:b/>
          <w:sz w:val="24"/>
          <w:szCs w:val="24"/>
        </w:rPr>
        <w:t xml:space="preserve">Study of synergistic effect of </w:t>
      </w:r>
      <w:r>
        <w:rPr>
          <w:rFonts w:ascii="Times New Roman" w:hAnsi="Times New Roman" w:cs="Times New Roman"/>
          <w:b/>
          <w:sz w:val="24"/>
          <w:szCs w:val="24"/>
        </w:rPr>
        <w:t>Sc</w:t>
      </w:r>
      <w:r w:rsidRPr="0033034A">
        <w:rPr>
          <w:rFonts w:ascii="Times New Roman" w:hAnsi="Times New Roman" w:cs="Times New Roman"/>
          <w:b/>
          <w:sz w:val="24"/>
          <w:szCs w:val="24"/>
        </w:rPr>
        <w:t xml:space="preserve"> and </w:t>
      </w:r>
      <w:r>
        <w:rPr>
          <w:rFonts w:ascii="Times New Roman" w:hAnsi="Times New Roman" w:cs="Times New Roman"/>
          <w:b/>
          <w:sz w:val="24"/>
          <w:szCs w:val="24"/>
        </w:rPr>
        <w:t>C</w:t>
      </w:r>
      <w:r w:rsidRPr="0033034A">
        <w:rPr>
          <w:rFonts w:ascii="Times New Roman" w:hAnsi="Times New Roman" w:cs="Times New Roman"/>
          <w:b/>
          <w:sz w:val="24"/>
          <w:szCs w:val="24"/>
        </w:rPr>
        <w:t xml:space="preserve"> co-doping on the enhancement of visible light photocatalytic activity of TiO</w:t>
      </w:r>
      <w:r w:rsidRPr="0033034A">
        <w:rPr>
          <w:rFonts w:ascii="Times New Roman" w:hAnsi="Times New Roman" w:cs="Times New Roman"/>
          <w:b/>
          <w:sz w:val="24"/>
          <w:szCs w:val="24"/>
          <w:vertAlign w:val="subscript"/>
        </w:rPr>
        <w:t>2</w:t>
      </w:r>
    </w:p>
    <w:p w:rsidR="004C555B" w:rsidRPr="0033034A" w:rsidRDefault="004C555B" w:rsidP="004C555B">
      <w:pPr>
        <w:spacing w:line="480" w:lineRule="auto"/>
        <w:rPr>
          <w:rFonts w:ascii="Times New Roman" w:hAnsi="Times New Roman" w:cs="Times New Roman"/>
          <w:b/>
          <w:sz w:val="24"/>
          <w:szCs w:val="24"/>
        </w:rPr>
      </w:pPr>
      <w:r w:rsidRPr="0033034A">
        <w:rPr>
          <w:rFonts w:ascii="Times New Roman" w:hAnsi="Times New Roman" w:cs="Times New Roman"/>
          <w:b/>
          <w:sz w:val="24"/>
          <w:szCs w:val="24"/>
        </w:rPr>
        <w:t>Abstract</w:t>
      </w:r>
    </w:p>
    <w:p w:rsidR="004C555B" w:rsidRPr="007000F0" w:rsidRDefault="004C555B" w:rsidP="004C555B">
      <w:pPr>
        <w:pStyle w:val="Subtitle"/>
        <w:spacing w:line="480" w:lineRule="auto"/>
        <w:ind w:firstLineChars="200" w:firstLine="480"/>
        <w:contextualSpacing/>
        <w:jc w:val="both"/>
        <w:rPr>
          <w:rFonts w:ascii="Times New Roman" w:eastAsiaTheme="minorEastAsia" w:hAnsi="Times New Roman" w:cs="Times New Roman"/>
          <w:i w:val="0"/>
          <w:iCs w:val="0"/>
          <w:color w:val="auto"/>
          <w:spacing w:val="0"/>
        </w:rPr>
      </w:pPr>
      <w:r w:rsidRPr="007000F0">
        <w:rPr>
          <w:rFonts w:ascii="Times New Roman" w:eastAsiaTheme="minorEastAsia" w:hAnsi="Times New Roman" w:cs="Times New Roman"/>
          <w:i w:val="0"/>
          <w:iCs w:val="0"/>
          <w:color w:val="auto"/>
          <w:spacing w:val="0"/>
        </w:rPr>
        <w:t>S</w:t>
      </w:r>
      <w:r>
        <w:rPr>
          <w:rFonts w:ascii="Times New Roman" w:eastAsiaTheme="minorEastAsia" w:hAnsi="Times New Roman" w:cs="Times New Roman"/>
          <w:i w:val="0"/>
          <w:iCs w:val="0"/>
          <w:color w:val="auto"/>
          <w:spacing w:val="0"/>
        </w:rPr>
        <w:t>candium and carbon co</w:t>
      </w:r>
      <w:r w:rsidRPr="007000F0">
        <w:rPr>
          <w:rFonts w:ascii="Times New Roman" w:eastAsiaTheme="minorEastAsia" w:hAnsi="Times New Roman" w:cs="Times New Roman"/>
          <w:i w:val="0"/>
          <w:iCs w:val="0"/>
          <w:color w:val="auto"/>
          <w:spacing w:val="0"/>
        </w:rPr>
        <w:t>doped TiO</w:t>
      </w:r>
      <w:r w:rsidRPr="007000F0">
        <w:rPr>
          <w:rFonts w:ascii="Times New Roman" w:eastAsiaTheme="minorEastAsia" w:hAnsi="Times New Roman" w:cs="Times New Roman"/>
          <w:i w:val="0"/>
          <w:iCs w:val="0"/>
          <w:color w:val="auto"/>
          <w:spacing w:val="0"/>
          <w:vertAlign w:val="subscript"/>
        </w:rPr>
        <w:t>2</w:t>
      </w:r>
      <w:r w:rsidRPr="007000F0">
        <w:rPr>
          <w:rFonts w:ascii="Times New Roman" w:eastAsiaTheme="minorEastAsia" w:hAnsi="Times New Roman" w:cs="Times New Roman"/>
          <w:i w:val="0"/>
          <w:iCs w:val="0"/>
          <w:color w:val="auto"/>
          <w:spacing w:val="0"/>
        </w:rPr>
        <w:t xml:space="preserve"> catalyst was prepared through simple sol-gel synthesis method by using scandium nitrate as scandium dopant precursor, glucose as carbon </w:t>
      </w:r>
      <w:r>
        <w:rPr>
          <w:rFonts w:ascii="Times New Roman" w:eastAsiaTheme="minorEastAsia" w:hAnsi="Times New Roman" w:cs="Times New Roman"/>
          <w:i w:val="0"/>
          <w:iCs w:val="0"/>
          <w:color w:val="auto"/>
          <w:spacing w:val="0"/>
        </w:rPr>
        <w:t xml:space="preserve">precursor </w:t>
      </w:r>
      <w:r w:rsidRPr="007000F0">
        <w:rPr>
          <w:rFonts w:ascii="Times New Roman" w:eastAsiaTheme="minorEastAsia" w:hAnsi="Times New Roman" w:cs="Times New Roman"/>
          <w:i w:val="0"/>
          <w:iCs w:val="0"/>
          <w:color w:val="auto"/>
          <w:spacing w:val="0"/>
        </w:rPr>
        <w:t>and tetrabutyl orthotitanate as titanium precursor and calcined</w:t>
      </w:r>
      <w:r>
        <w:rPr>
          <w:rFonts w:ascii="Times New Roman" w:eastAsiaTheme="minorEastAsia" w:hAnsi="Times New Roman" w:cs="Times New Roman"/>
          <w:i w:val="0"/>
          <w:iCs w:val="0"/>
          <w:color w:val="auto"/>
          <w:spacing w:val="0"/>
        </w:rPr>
        <w:t xml:space="preserve"> them</w:t>
      </w:r>
      <w:r w:rsidRPr="007000F0">
        <w:rPr>
          <w:rFonts w:ascii="Times New Roman" w:eastAsiaTheme="minorEastAsia" w:hAnsi="Times New Roman" w:cs="Times New Roman"/>
          <w:i w:val="0"/>
          <w:iCs w:val="0"/>
          <w:color w:val="auto"/>
          <w:spacing w:val="0"/>
        </w:rPr>
        <w:t xml:space="preserve"> at 450 °C for 3 h. The characterization</w:t>
      </w:r>
      <w:r>
        <w:rPr>
          <w:rFonts w:ascii="Times New Roman" w:eastAsiaTheme="minorEastAsia" w:hAnsi="Times New Roman" w:cs="Times New Roman"/>
          <w:i w:val="0"/>
          <w:iCs w:val="0"/>
          <w:color w:val="auto"/>
          <w:spacing w:val="0"/>
        </w:rPr>
        <w:t>s</w:t>
      </w:r>
      <w:r w:rsidRPr="007000F0">
        <w:rPr>
          <w:rFonts w:ascii="Times New Roman" w:eastAsiaTheme="minorEastAsia" w:hAnsi="Times New Roman" w:cs="Times New Roman"/>
          <w:i w:val="0"/>
          <w:iCs w:val="0"/>
          <w:color w:val="auto"/>
          <w:spacing w:val="0"/>
        </w:rPr>
        <w:t xml:space="preserve"> of the prepared samples </w:t>
      </w:r>
      <w:r>
        <w:rPr>
          <w:rFonts w:ascii="Times New Roman" w:eastAsiaTheme="minorEastAsia" w:hAnsi="Times New Roman" w:cs="Times New Roman"/>
          <w:i w:val="0"/>
          <w:iCs w:val="0"/>
          <w:color w:val="auto"/>
          <w:spacing w:val="0"/>
        </w:rPr>
        <w:t>were accomplished</w:t>
      </w:r>
      <w:r w:rsidRPr="007000F0">
        <w:rPr>
          <w:rFonts w:ascii="Times New Roman" w:eastAsiaTheme="minorEastAsia" w:hAnsi="Times New Roman" w:cs="Times New Roman"/>
          <w:i w:val="0"/>
          <w:iCs w:val="0"/>
          <w:color w:val="auto"/>
          <w:spacing w:val="0"/>
        </w:rPr>
        <w:t xml:space="preserve"> through </w:t>
      </w:r>
      <w:r>
        <w:rPr>
          <w:rFonts w:ascii="Times New Roman" w:eastAsiaTheme="minorEastAsia" w:hAnsi="Times New Roman" w:cs="Times New Roman"/>
          <w:i w:val="0"/>
          <w:iCs w:val="0"/>
          <w:color w:val="auto"/>
          <w:spacing w:val="0"/>
        </w:rPr>
        <w:t>X-ray diffraction</w:t>
      </w:r>
      <w:r w:rsidRPr="00D3590E">
        <w:rPr>
          <w:rFonts w:ascii="Times New Roman" w:eastAsiaTheme="minorEastAsia" w:hAnsi="Times New Roman" w:cs="Times New Roman"/>
          <w:i w:val="0"/>
          <w:iCs w:val="0"/>
          <w:color w:val="auto"/>
          <w:spacing w:val="0"/>
        </w:rPr>
        <w:t>, transm</w:t>
      </w:r>
      <w:r>
        <w:rPr>
          <w:rFonts w:ascii="Times New Roman" w:eastAsiaTheme="minorEastAsia" w:hAnsi="Times New Roman" w:cs="Times New Roman"/>
          <w:i w:val="0"/>
          <w:iCs w:val="0"/>
          <w:color w:val="auto"/>
          <w:spacing w:val="0"/>
        </w:rPr>
        <w:t>ission electron microscopy</w:t>
      </w:r>
      <w:r w:rsidRPr="00D3590E">
        <w:rPr>
          <w:rFonts w:ascii="Times New Roman" w:eastAsiaTheme="minorEastAsia" w:hAnsi="Times New Roman" w:cs="Times New Roman"/>
          <w:i w:val="0"/>
          <w:iCs w:val="0"/>
          <w:color w:val="auto"/>
          <w:spacing w:val="0"/>
        </w:rPr>
        <w:t>, UV-visible diffuse r</w:t>
      </w:r>
      <w:r>
        <w:rPr>
          <w:rFonts w:ascii="Times New Roman" w:eastAsiaTheme="minorEastAsia" w:hAnsi="Times New Roman" w:cs="Times New Roman"/>
          <w:i w:val="0"/>
          <w:iCs w:val="0"/>
          <w:color w:val="auto"/>
          <w:spacing w:val="0"/>
        </w:rPr>
        <w:t>eflectance spectroscopy</w:t>
      </w:r>
      <w:r w:rsidRPr="00D3590E">
        <w:rPr>
          <w:rFonts w:ascii="Times New Roman" w:eastAsiaTheme="minorEastAsia" w:hAnsi="Times New Roman" w:cs="Times New Roman"/>
          <w:i w:val="0"/>
          <w:iCs w:val="0"/>
          <w:color w:val="auto"/>
          <w:spacing w:val="0"/>
        </w:rPr>
        <w:t>, phot</w:t>
      </w:r>
      <w:r>
        <w:rPr>
          <w:rFonts w:ascii="Times New Roman" w:eastAsiaTheme="minorEastAsia" w:hAnsi="Times New Roman" w:cs="Times New Roman"/>
          <w:i w:val="0"/>
          <w:iCs w:val="0"/>
          <w:color w:val="auto"/>
          <w:spacing w:val="0"/>
        </w:rPr>
        <w:t>oluminescence spectroscopy</w:t>
      </w:r>
      <w:r w:rsidRPr="00D3590E">
        <w:rPr>
          <w:rFonts w:ascii="Times New Roman" w:eastAsiaTheme="minorEastAsia" w:hAnsi="Times New Roman" w:cs="Times New Roman"/>
          <w:i w:val="0"/>
          <w:iCs w:val="0"/>
          <w:color w:val="auto"/>
          <w:spacing w:val="0"/>
        </w:rPr>
        <w:t xml:space="preserve">, </w:t>
      </w:r>
      <w:proofErr w:type="spellStart"/>
      <w:proofErr w:type="gramStart"/>
      <w:r w:rsidRPr="00D3590E">
        <w:rPr>
          <w:rFonts w:ascii="Times New Roman" w:eastAsiaTheme="minorEastAsia" w:hAnsi="Times New Roman" w:cs="Times New Roman"/>
          <w:i w:val="0"/>
          <w:iCs w:val="0"/>
          <w:color w:val="auto"/>
          <w:spacing w:val="0"/>
        </w:rPr>
        <w:t>fourier</w:t>
      </w:r>
      <w:proofErr w:type="spellEnd"/>
      <w:proofErr w:type="gramEnd"/>
      <w:r w:rsidRPr="00D3590E">
        <w:rPr>
          <w:rFonts w:ascii="Times New Roman" w:eastAsiaTheme="minorEastAsia" w:hAnsi="Times New Roman" w:cs="Times New Roman"/>
          <w:i w:val="0"/>
          <w:iCs w:val="0"/>
          <w:color w:val="auto"/>
          <w:spacing w:val="0"/>
        </w:rPr>
        <w:t xml:space="preserve"> transformat</w:t>
      </w:r>
      <w:r>
        <w:rPr>
          <w:rFonts w:ascii="Times New Roman" w:eastAsiaTheme="minorEastAsia" w:hAnsi="Times New Roman" w:cs="Times New Roman"/>
          <w:i w:val="0"/>
          <w:iCs w:val="0"/>
          <w:color w:val="auto"/>
          <w:spacing w:val="0"/>
        </w:rPr>
        <w:t>ion infrared spectroscopy</w:t>
      </w:r>
      <w:r w:rsidRPr="00D3590E">
        <w:rPr>
          <w:rFonts w:ascii="Times New Roman" w:eastAsiaTheme="minorEastAsia" w:hAnsi="Times New Roman" w:cs="Times New Roman"/>
          <w:i w:val="0"/>
          <w:iCs w:val="0"/>
          <w:color w:val="auto"/>
          <w:spacing w:val="0"/>
        </w:rPr>
        <w:t xml:space="preserve">, X-ray </w:t>
      </w:r>
      <w:r>
        <w:rPr>
          <w:rFonts w:ascii="Times New Roman" w:eastAsiaTheme="minorEastAsia" w:hAnsi="Times New Roman" w:cs="Times New Roman"/>
          <w:i w:val="0"/>
          <w:iCs w:val="0"/>
          <w:color w:val="auto"/>
          <w:spacing w:val="0"/>
        </w:rPr>
        <w:t>photoelectron spectroscopy</w:t>
      </w:r>
      <w:r w:rsidRPr="00D3590E">
        <w:rPr>
          <w:rFonts w:ascii="Times New Roman" w:eastAsiaTheme="minorEastAsia" w:hAnsi="Times New Roman" w:cs="Times New Roman"/>
          <w:i w:val="0"/>
          <w:iCs w:val="0"/>
          <w:color w:val="auto"/>
          <w:spacing w:val="0"/>
        </w:rPr>
        <w:t xml:space="preserve"> and </w:t>
      </w:r>
      <w:proofErr w:type="spellStart"/>
      <w:r>
        <w:rPr>
          <w:rFonts w:ascii="Times New Roman" w:eastAsiaTheme="minorEastAsia" w:hAnsi="Times New Roman" w:cs="Times New Roman"/>
          <w:i w:val="0"/>
          <w:iCs w:val="0"/>
          <w:color w:val="auto"/>
          <w:spacing w:val="0"/>
        </w:rPr>
        <w:t>Brunauer</w:t>
      </w:r>
      <w:proofErr w:type="spellEnd"/>
      <w:r>
        <w:rPr>
          <w:rFonts w:ascii="Times New Roman" w:eastAsiaTheme="minorEastAsia" w:hAnsi="Times New Roman" w:cs="Times New Roman"/>
          <w:i w:val="0"/>
          <w:iCs w:val="0"/>
          <w:color w:val="auto"/>
          <w:spacing w:val="0"/>
        </w:rPr>
        <w:t>–Emmett–Teller</w:t>
      </w:r>
      <w:r w:rsidRPr="00D3590E">
        <w:rPr>
          <w:rFonts w:ascii="Times New Roman" w:eastAsiaTheme="minorEastAsia" w:hAnsi="Times New Roman" w:cs="Times New Roman"/>
          <w:i w:val="0"/>
          <w:iCs w:val="0"/>
          <w:color w:val="auto"/>
          <w:spacing w:val="0"/>
        </w:rPr>
        <w:t>.</w:t>
      </w:r>
      <w:r>
        <w:rPr>
          <w:rFonts w:ascii="Times New Roman" w:eastAsiaTheme="minorEastAsia" w:hAnsi="Times New Roman" w:cs="Times New Roman"/>
          <w:i w:val="0"/>
          <w:iCs w:val="0"/>
          <w:color w:val="auto"/>
          <w:spacing w:val="0"/>
        </w:rPr>
        <w:t xml:space="preserve"> The X-ray diffraction results of the samples showed the decrease in the crystal size of the sample with the subsequent increase in the specific surface area as shown by </w:t>
      </w:r>
      <w:proofErr w:type="spellStart"/>
      <w:r>
        <w:rPr>
          <w:rFonts w:ascii="Times New Roman" w:eastAsiaTheme="minorEastAsia" w:hAnsi="Times New Roman" w:cs="Times New Roman"/>
          <w:i w:val="0"/>
          <w:iCs w:val="0"/>
          <w:color w:val="auto"/>
          <w:spacing w:val="0"/>
        </w:rPr>
        <w:t>Brunauer</w:t>
      </w:r>
      <w:proofErr w:type="spellEnd"/>
      <w:r>
        <w:rPr>
          <w:rFonts w:ascii="Times New Roman" w:eastAsiaTheme="minorEastAsia" w:hAnsi="Times New Roman" w:cs="Times New Roman"/>
          <w:i w:val="0"/>
          <w:iCs w:val="0"/>
          <w:color w:val="auto"/>
          <w:spacing w:val="0"/>
        </w:rPr>
        <w:t xml:space="preserve">–Emmett–Teller. The </w:t>
      </w:r>
      <w:r w:rsidRPr="00D3590E">
        <w:rPr>
          <w:rFonts w:ascii="Times New Roman" w:eastAsiaTheme="minorEastAsia" w:hAnsi="Times New Roman" w:cs="Times New Roman"/>
          <w:i w:val="0"/>
          <w:iCs w:val="0"/>
          <w:color w:val="auto"/>
          <w:spacing w:val="0"/>
        </w:rPr>
        <w:t>UV-visible diffuse r</w:t>
      </w:r>
      <w:r>
        <w:rPr>
          <w:rFonts w:ascii="Times New Roman" w:eastAsiaTheme="minorEastAsia" w:hAnsi="Times New Roman" w:cs="Times New Roman"/>
          <w:i w:val="0"/>
          <w:iCs w:val="0"/>
          <w:color w:val="auto"/>
          <w:spacing w:val="0"/>
        </w:rPr>
        <w:t xml:space="preserve">eflectance spectroscopy displayed the blue shift in the absorption together with the </w:t>
      </w:r>
      <w:r w:rsidRPr="00D3590E">
        <w:rPr>
          <w:rFonts w:ascii="Times New Roman" w:eastAsiaTheme="minorEastAsia" w:hAnsi="Times New Roman" w:cs="Times New Roman"/>
          <w:i w:val="0"/>
          <w:iCs w:val="0"/>
          <w:color w:val="auto"/>
          <w:spacing w:val="0"/>
        </w:rPr>
        <w:t>phot</w:t>
      </w:r>
      <w:r>
        <w:rPr>
          <w:rFonts w:ascii="Times New Roman" w:eastAsiaTheme="minorEastAsia" w:hAnsi="Times New Roman" w:cs="Times New Roman"/>
          <w:i w:val="0"/>
          <w:iCs w:val="0"/>
          <w:color w:val="auto"/>
          <w:spacing w:val="0"/>
        </w:rPr>
        <w:t xml:space="preserve">oluminescence </w:t>
      </w:r>
      <w:proofErr w:type="gramStart"/>
      <w:r>
        <w:rPr>
          <w:rFonts w:ascii="Times New Roman" w:eastAsiaTheme="minorEastAsia" w:hAnsi="Times New Roman" w:cs="Times New Roman"/>
          <w:i w:val="0"/>
          <w:iCs w:val="0"/>
          <w:color w:val="auto"/>
          <w:spacing w:val="0"/>
        </w:rPr>
        <w:t>spectroscopy</w:t>
      </w:r>
      <w:proofErr w:type="gramEnd"/>
      <w:r>
        <w:rPr>
          <w:rFonts w:ascii="Times New Roman" w:eastAsiaTheme="minorEastAsia" w:hAnsi="Times New Roman" w:cs="Times New Roman"/>
          <w:i w:val="0"/>
          <w:iCs w:val="0"/>
          <w:color w:val="auto"/>
          <w:spacing w:val="0"/>
        </w:rPr>
        <w:t xml:space="preserve"> revealed the decrease in the recombination of electrons and holes by the addition of the scandium and then after the certain optimum value, the further increase of the scandium further increased the recombination of electrons and holes. The photocatalytic activity of the samples was investigated with the help of photodegradation of Acid orange 7 under visible light irradiation. The degradation of Acid orange 7 was highly increased for the codoped samples due the decrease of the crystal size, increase of the surface area, increase in the surface hydroxyl groups, </w:t>
      </w:r>
      <w:proofErr w:type="spellStart"/>
      <w:r>
        <w:rPr>
          <w:rFonts w:ascii="Times New Roman" w:eastAsiaTheme="minorEastAsia" w:hAnsi="Times New Roman" w:cs="Times New Roman"/>
          <w:i w:val="0"/>
          <w:iCs w:val="0"/>
          <w:color w:val="auto"/>
          <w:spacing w:val="0"/>
        </w:rPr>
        <w:t>and</w:t>
      </w:r>
      <w:proofErr w:type="spellEnd"/>
      <w:r>
        <w:rPr>
          <w:rFonts w:ascii="Times New Roman" w:eastAsiaTheme="minorEastAsia" w:hAnsi="Times New Roman" w:cs="Times New Roman"/>
          <w:i w:val="0"/>
          <w:iCs w:val="0"/>
          <w:color w:val="auto"/>
          <w:spacing w:val="0"/>
        </w:rPr>
        <w:t xml:space="preserve"> increase of the lifetime of the charge carriers due to the synergistic effect of the Sc and C codoping in TiO</w:t>
      </w:r>
      <w:r w:rsidRPr="00494E83">
        <w:rPr>
          <w:rFonts w:ascii="Times New Roman" w:eastAsiaTheme="minorEastAsia" w:hAnsi="Times New Roman" w:cs="Times New Roman"/>
          <w:i w:val="0"/>
          <w:iCs w:val="0"/>
          <w:color w:val="auto"/>
          <w:spacing w:val="0"/>
          <w:vertAlign w:val="subscript"/>
        </w:rPr>
        <w:t>2</w:t>
      </w:r>
      <w:r>
        <w:rPr>
          <w:rFonts w:ascii="Times New Roman" w:eastAsiaTheme="minorEastAsia" w:hAnsi="Times New Roman" w:cs="Times New Roman"/>
          <w:i w:val="0"/>
          <w:iCs w:val="0"/>
          <w:color w:val="auto"/>
          <w:spacing w:val="0"/>
        </w:rPr>
        <w:t xml:space="preserve">. </w:t>
      </w:r>
    </w:p>
    <w:p w:rsidR="00972D23" w:rsidRDefault="00972D23"/>
    <w:sectPr w:rsidR="00972D23" w:rsidSect="00972D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C555B"/>
    <w:rsid w:val="00001BA9"/>
    <w:rsid w:val="0000576F"/>
    <w:rsid w:val="00006D62"/>
    <w:rsid w:val="00021C70"/>
    <w:rsid w:val="00033E3A"/>
    <w:rsid w:val="00047C9D"/>
    <w:rsid w:val="0008325B"/>
    <w:rsid w:val="00097AC6"/>
    <w:rsid w:val="000A790E"/>
    <w:rsid w:val="000B0502"/>
    <w:rsid w:val="000B11B8"/>
    <w:rsid w:val="000B1B7E"/>
    <w:rsid w:val="000B33BC"/>
    <w:rsid w:val="000C1103"/>
    <w:rsid w:val="00101404"/>
    <w:rsid w:val="001026BB"/>
    <w:rsid w:val="00112CD1"/>
    <w:rsid w:val="0012454D"/>
    <w:rsid w:val="00131C97"/>
    <w:rsid w:val="001415C9"/>
    <w:rsid w:val="00141A31"/>
    <w:rsid w:val="001556D6"/>
    <w:rsid w:val="00157DC4"/>
    <w:rsid w:val="00163A1A"/>
    <w:rsid w:val="00170B56"/>
    <w:rsid w:val="0017604A"/>
    <w:rsid w:val="00182FD4"/>
    <w:rsid w:val="00184E9D"/>
    <w:rsid w:val="001915BE"/>
    <w:rsid w:val="0019497C"/>
    <w:rsid w:val="00194CF3"/>
    <w:rsid w:val="00194F51"/>
    <w:rsid w:val="00196788"/>
    <w:rsid w:val="00196A6A"/>
    <w:rsid w:val="001B1846"/>
    <w:rsid w:val="001B7807"/>
    <w:rsid w:val="001B7F2C"/>
    <w:rsid w:val="001C39AE"/>
    <w:rsid w:val="001C7268"/>
    <w:rsid w:val="001D2CA0"/>
    <w:rsid w:val="001D7665"/>
    <w:rsid w:val="001F2F0B"/>
    <w:rsid w:val="00213A20"/>
    <w:rsid w:val="0021733D"/>
    <w:rsid w:val="00223177"/>
    <w:rsid w:val="002268E7"/>
    <w:rsid w:val="00231496"/>
    <w:rsid w:val="00234528"/>
    <w:rsid w:val="00247EB4"/>
    <w:rsid w:val="00250953"/>
    <w:rsid w:val="0025618C"/>
    <w:rsid w:val="00281B4B"/>
    <w:rsid w:val="002844BB"/>
    <w:rsid w:val="00291ADD"/>
    <w:rsid w:val="00294B23"/>
    <w:rsid w:val="002A24FD"/>
    <w:rsid w:val="002B4FE3"/>
    <w:rsid w:val="002B513E"/>
    <w:rsid w:val="002D0C86"/>
    <w:rsid w:val="002D4100"/>
    <w:rsid w:val="002D76CD"/>
    <w:rsid w:val="002D7717"/>
    <w:rsid w:val="002E335F"/>
    <w:rsid w:val="00304FCE"/>
    <w:rsid w:val="00305F1B"/>
    <w:rsid w:val="00313237"/>
    <w:rsid w:val="003157D3"/>
    <w:rsid w:val="00316FDD"/>
    <w:rsid w:val="00317918"/>
    <w:rsid w:val="00330A78"/>
    <w:rsid w:val="0034655D"/>
    <w:rsid w:val="003521AB"/>
    <w:rsid w:val="00357EED"/>
    <w:rsid w:val="0036707B"/>
    <w:rsid w:val="0037146B"/>
    <w:rsid w:val="00383A5A"/>
    <w:rsid w:val="00383DEE"/>
    <w:rsid w:val="0038446C"/>
    <w:rsid w:val="00384DB5"/>
    <w:rsid w:val="003900FC"/>
    <w:rsid w:val="003907BD"/>
    <w:rsid w:val="00391A5D"/>
    <w:rsid w:val="00393F08"/>
    <w:rsid w:val="003950AB"/>
    <w:rsid w:val="00396A09"/>
    <w:rsid w:val="003A0427"/>
    <w:rsid w:val="003B65A5"/>
    <w:rsid w:val="003C3307"/>
    <w:rsid w:val="003C6E75"/>
    <w:rsid w:val="003D044C"/>
    <w:rsid w:val="003E7EBD"/>
    <w:rsid w:val="004026FA"/>
    <w:rsid w:val="004108CB"/>
    <w:rsid w:val="00411656"/>
    <w:rsid w:val="00432324"/>
    <w:rsid w:val="004428CB"/>
    <w:rsid w:val="0044721A"/>
    <w:rsid w:val="004638C1"/>
    <w:rsid w:val="00473101"/>
    <w:rsid w:val="00490B15"/>
    <w:rsid w:val="004A5B27"/>
    <w:rsid w:val="004B656C"/>
    <w:rsid w:val="004C0D88"/>
    <w:rsid w:val="004C555B"/>
    <w:rsid w:val="004D2640"/>
    <w:rsid w:val="004D54E1"/>
    <w:rsid w:val="004E5F93"/>
    <w:rsid w:val="004E7504"/>
    <w:rsid w:val="00500CC9"/>
    <w:rsid w:val="0050340C"/>
    <w:rsid w:val="00503CA2"/>
    <w:rsid w:val="005047E3"/>
    <w:rsid w:val="005217CB"/>
    <w:rsid w:val="00521D98"/>
    <w:rsid w:val="00522174"/>
    <w:rsid w:val="00525337"/>
    <w:rsid w:val="00530E77"/>
    <w:rsid w:val="0053602A"/>
    <w:rsid w:val="005517B1"/>
    <w:rsid w:val="00557EED"/>
    <w:rsid w:val="00560A90"/>
    <w:rsid w:val="00562718"/>
    <w:rsid w:val="0058678F"/>
    <w:rsid w:val="005953CA"/>
    <w:rsid w:val="005963DE"/>
    <w:rsid w:val="005A1B49"/>
    <w:rsid w:val="005B1B46"/>
    <w:rsid w:val="005B22E5"/>
    <w:rsid w:val="005B3F8D"/>
    <w:rsid w:val="005C30E2"/>
    <w:rsid w:val="005D58E3"/>
    <w:rsid w:val="005E24CB"/>
    <w:rsid w:val="005E2B93"/>
    <w:rsid w:val="005E6E54"/>
    <w:rsid w:val="005F1926"/>
    <w:rsid w:val="005F23BB"/>
    <w:rsid w:val="006076B4"/>
    <w:rsid w:val="00623B2F"/>
    <w:rsid w:val="006418DA"/>
    <w:rsid w:val="00650526"/>
    <w:rsid w:val="00662E46"/>
    <w:rsid w:val="00666C25"/>
    <w:rsid w:val="006A366F"/>
    <w:rsid w:val="006A6BAD"/>
    <w:rsid w:val="006A6D9F"/>
    <w:rsid w:val="006B62A8"/>
    <w:rsid w:val="006C1833"/>
    <w:rsid w:val="006C4423"/>
    <w:rsid w:val="006C538F"/>
    <w:rsid w:val="006C7834"/>
    <w:rsid w:val="006D15D6"/>
    <w:rsid w:val="006D45F9"/>
    <w:rsid w:val="006D4721"/>
    <w:rsid w:val="006E5581"/>
    <w:rsid w:val="00700556"/>
    <w:rsid w:val="00704F8C"/>
    <w:rsid w:val="00723472"/>
    <w:rsid w:val="0072551D"/>
    <w:rsid w:val="007271F5"/>
    <w:rsid w:val="007431CF"/>
    <w:rsid w:val="00743748"/>
    <w:rsid w:val="00743A2C"/>
    <w:rsid w:val="007537C5"/>
    <w:rsid w:val="00757D21"/>
    <w:rsid w:val="007743BC"/>
    <w:rsid w:val="00783252"/>
    <w:rsid w:val="00795370"/>
    <w:rsid w:val="007966F7"/>
    <w:rsid w:val="007A292B"/>
    <w:rsid w:val="007B296C"/>
    <w:rsid w:val="007D34CD"/>
    <w:rsid w:val="007D370A"/>
    <w:rsid w:val="007D4E3F"/>
    <w:rsid w:val="007E722D"/>
    <w:rsid w:val="007F743A"/>
    <w:rsid w:val="0080659D"/>
    <w:rsid w:val="00807806"/>
    <w:rsid w:val="00810F68"/>
    <w:rsid w:val="00820A9E"/>
    <w:rsid w:val="00826077"/>
    <w:rsid w:val="00826D47"/>
    <w:rsid w:val="0082736A"/>
    <w:rsid w:val="0083103A"/>
    <w:rsid w:val="00831ACA"/>
    <w:rsid w:val="00836DA7"/>
    <w:rsid w:val="0084102C"/>
    <w:rsid w:val="00845C3E"/>
    <w:rsid w:val="0086077F"/>
    <w:rsid w:val="00865E42"/>
    <w:rsid w:val="0087770D"/>
    <w:rsid w:val="008A1C93"/>
    <w:rsid w:val="008A3F9B"/>
    <w:rsid w:val="008A5113"/>
    <w:rsid w:val="008A6C58"/>
    <w:rsid w:val="008B5A87"/>
    <w:rsid w:val="008C436A"/>
    <w:rsid w:val="008C48C2"/>
    <w:rsid w:val="008C4DD9"/>
    <w:rsid w:val="008E06D9"/>
    <w:rsid w:val="008F3162"/>
    <w:rsid w:val="00904FC8"/>
    <w:rsid w:val="00905BFC"/>
    <w:rsid w:val="00906DC4"/>
    <w:rsid w:val="00910CF2"/>
    <w:rsid w:val="0091739A"/>
    <w:rsid w:val="00925AF4"/>
    <w:rsid w:val="0092796C"/>
    <w:rsid w:val="00931787"/>
    <w:rsid w:val="0093525C"/>
    <w:rsid w:val="00960606"/>
    <w:rsid w:val="00972D23"/>
    <w:rsid w:val="0097349D"/>
    <w:rsid w:val="0098334E"/>
    <w:rsid w:val="00990F4E"/>
    <w:rsid w:val="009A14A5"/>
    <w:rsid w:val="009A6907"/>
    <w:rsid w:val="009E2EFA"/>
    <w:rsid w:val="00A078AD"/>
    <w:rsid w:val="00A339DB"/>
    <w:rsid w:val="00A4084B"/>
    <w:rsid w:val="00A459CE"/>
    <w:rsid w:val="00A55A8E"/>
    <w:rsid w:val="00A57FA9"/>
    <w:rsid w:val="00A63E4D"/>
    <w:rsid w:val="00A76355"/>
    <w:rsid w:val="00A944C8"/>
    <w:rsid w:val="00AC15F9"/>
    <w:rsid w:val="00AC2EF6"/>
    <w:rsid w:val="00AC77A0"/>
    <w:rsid w:val="00AD34BA"/>
    <w:rsid w:val="00AE7BB2"/>
    <w:rsid w:val="00B00CC7"/>
    <w:rsid w:val="00B03E15"/>
    <w:rsid w:val="00B04C36"/>
    <w:rsid w:val="00B317F1"/>
    <w:rsid w:val="00B454BF"/>
    <w:rsid w:val="00B50C10"/>
    <w:rsid w:val="00B55042"/>
    <w:rsid w:val="00B56DA1"/>
    <w:rsid w:val="00B72955"/>
    <w:rsid w:val="00B72C24"/>
    <w:rsid w:val="00B76223"/>
    <w:rsid w:val="00B774DA"/>
    <w:rsid w:val="00B77D2E"/>
    <w:rsid w:val="00B85799"/>
    <w:rsid w:val="00B87C10"/>
    <w:rsid w:val="00BA048A"/>
    <w:rsid w:val="00BC1297"/>
    <w:rsid w:val="00BD2E00"/>
    <w:rsid w:val="00BE25A0"/>
    <w:rsid w:val="00BF6FE2"/>
    <w:rsid w:val="00C00AB6"/>
    <w:rsid w:val="00C0472E"/>
    <w:rsid w:val="00C31601"/>
    <w:rsid w:val="00C318FA"/>
    <w:rsid w:val="00C513D4"/>
    <w:rsid w:val="00C52347"/>
    <w:rsid w:val="00C720AC"/>
    <w:rsid w:val="00C81995"/>
    <w:rsid w:val="00C82F06"/>
    <w:rsid w:val="00C847D3"/>
    <w:rsid w:val="00C84D0C"/>
    <w:rsid w:val="00C951E4"/>
    <w:rsid w:val="00CA7728"/>
    <w:rsid w:val="00CB3DE2"/>
    <w:rsid w:val="00CB591B"/>
    <w:rsid w:val="00CC0057"/>
    <w:rsid w:val="00CC0094"/>
    <w:rsid w:val="00CC09EF"/>
    <w:rsid w:val="00CE08A9"/>
    <w:rsid w:val="00CE0C45"/>
    <w:rsid w:val="00CF3B93"/>
    <w:rsid w:val="00D04806"/>
    <w:rsid w:val="00D050A3"/>
    <w:rsid w:val="00D05A6E"/>
    <w:rsid w:val="00D06A90"/>
    <w:rsid w:val="00D20D6C"/>
    <w:rsid w:val="00D2535D"/>
    <w:rsid w:val="00D32323"/>
    <w:rsid w:val="00D41090"/>
    <w:rsid w:val="00D450CD"/>
    <w:rsid w:val="00D56E63"/>
    <w:rsid w:val="00D63980"/>
    <w:rsid w:val="00D6608D"/>
    <w:rsid w:val="00D76052"/>
    <w:rsid w:val="00D92566"/>
    <w:rsid w:val="00D95129"/>
    <w:rsid w:val="00DB14ED"/>
    <w:rsid w:val="00DD284A"/>
    <w:rsid w:val="00DF2B08"/>
    <w:rsid w:val="00E10E0A"/>
    <w:rsid w:val="00E11E09"/>
    <w:rsid w:val="00E137F6"/>
    <w:rsid w:val="00E15943"/>
    <w:rsid w:val="00E17BEE"/>
    <w:rsid w:val="00E30B30"/>
    <w:rsid w:val="00E3139F"/>
    <w:rsid w:val="00E33A72"/>
    <w:rsid w:val="00E33E31"/>
    <w:rsid w:val="00E40753"/>
    <w:rsid w:val="00E550B8"/>
    <w:rsid w:val="00E558AC"/>
    <w:rsid w:val="00E67851"/>
    <w:rsid w:val="00E731C1"/>
    <w:rsid w:val="00E8081D"/>
    <w:rsid w:val="00E850CD"/>
    <w:rsid w:val="00E916CB"/>
    <w:rsid w:val="00E973C4"/>
    <w:rsid w:val="00EA2FD7"/>
    <w:rsid w:val="00EE337E"/>
    <w:rsid w:val="00EF4A48"/>
    <w:rsid w:val="00EF4FB8"/>
    <w:rsid w:val="00F0137C"/>
    <w:rsid w:val="00F04F0B"/>
    <w:rsid w:val="00F07643"/>
    <w:rsid w:val="00F16AC3"/>
    <w:rsid w:val="00F27989"/>
    <w:rsid w:val="00F305D3"/>
    <w:rsid w:val="00F40DB7"/>
    <w:rsid w:val="00F44202"/>
    <w:rsid w:val="00F558B2"/>
    <w:rsid w:val="00F7012A"/>
    <w:rsid w:val="00F73246"/>
    <w:rsid w:val="00F7353B"/>
    <w:rsid w:val="00F74BDF"/>
    <w:rsid w:val="00F87706"/>
    <w:rsid w:val="00F926A4"/>
    <w:rsid w:val="00FA12BC"/>
    <w:rsid w:val="00FB10AE"/>
    <w:rsid w:val="00FC3D1A"/>
    <w:rsid w:val="00FD7E5B"/>
    <w:rsid w:val="00FE7E1D"/>
    <w:rsid w:val="00FF117A"/>
    <w:rsid w:val="00FF1E7C"/>
    <w:rsid w:val="00FF6C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5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4C555B"/>
    <w:pPr>
      <w:numPr>
        <w:ilvl w:val="1"/>
      </w:numPr>
    </w:pPr>
    <w:rPr>
      <w:rFonts w:asciiTheme="majorHAnsi" w:eastAsiaTheme="majorEastAsia" w:hAnsiTheme="majorHAnsi" w:cstheme="majorBidi"/>
      <w:i/>
      <w:iCs/>
      <w:color w:val="4F81BD" w:themeColor="accent1"/>
      <w:spacing w:val="15"/>
      <w:sz w:val="24"/>
      <w:szCs w:val="24"/>
      <w:lang w:eastAsia="en-US"/>
    </w:rPr>
  </w:style>
  <w:style w:type="character" w:customStyle="1" w:styleId="SubtitleChar">
    <w:name w:val="Subtitle Char"/>
    <w:basedOn w:val="DefaultParagraphFont"/>
    <w:link w:val="Subtitle"/>
    <w:uiPriority w:val="11"/>
    <w:rsid w:val="004C555B"/>
    <w:rPr>
      <w:rFonts w:asciiTheme="majorHAnsi" w:eastAsiaTheme="majorEastAsia" w:hAnsiTheme="majorHAnsi" w:cstheme="majorBidi"/>
      <w:i/>
      <w:iCs/>
      <w:color w:val="4F81BD" w:themeColor="accent1"/>
      <w:spacing w:val="15"/>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1465</Characters>
  <Application>Microsoft Office Word</Application>
  <DocSecurity>0</DocSecurity>
  <Lines>12</Lines>
  <Paragraphs>3</Paragraphs>
  <ScaleCrop>false</ScaleCrop>
  <Company/>
  <LinksUpToDate>false</LinksUpToDate>
  <CharactersWithSpaces>1719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nasir</dc:creator>
  <cp:keywords/>
  <dc:description/>
  <cp:lastModifiedBy>nasir</cp:lastModifiedBy>
  <cp:revision>2</cp:revision>
  <dcterms:created xsi:type="dcterms:W3CDTF">2014-03-07T06:07:00Z</dcterms:created>
  <dcterms:modified xsi:type="dcterms:W3CDTF">2014-03-07T06:07:00Z</dcterms:modified>
</cp:coreProperties>
</file>