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2702D1" w14:textId="1EA812F7" w:rsidR="00774326" w:rsidRDefault="005C257B" w:rsidP="00774326">
      <w:pPr>
        <w:jc w:val="center"/>
      </w:pPr>
      <w:r w:rsidRPr="00774326">
        <w:t xml:space="preserve">Wavenumber Selection for </w:t>
      </w:r>
      <w:r w:rsidR="00FA4519" w:rsidRPr="00774326">
        <w:t xml:space="preserve">NIR </w:t>
      </w:r>
      <w:r w:rsidRPr="00774326">
        <w:t>Calibration Modeling</w:t>
      </w:r>
      <w:r w:rsidR="009020C5" w:rsidRPr="00774326">
        <w:t>:</w:t>
      </w:r>
    </w:p>
    <w:p w14:paraId="68802434" w14:textId="37A3B6C9" w:rsidR="005C257B" w:rsidRPr="00774326" w:rsidRDefault="00FD2D66" w:rsidP="00774326">
      <w:pPr>
        <w:jc w:val="center"/>
      </w:pPr>
      <w:r w:rsidRPr="00774326">
        <w:t>Applicatio</w:t>
      </w:r>
      <w:r w:rsidR="001B30B7" w:rsidRPr="00774326">
        <w:t>n</w:t>
      </w:r>
      <w:r w:rsidRPr="00774326">
        <w:t xml:space="preserve"> to </w:t>
      </w:r>
      <w:r w:rsidR="005C257B" w:rsidRPr="00774326">
        <w:t>Water and Drug Content Estimation</w:t>
      </w:r>
    </w:p>
    <w:p w14:paraId="16F9CF23" w14:textId="77777777" w:rsidR="005C257B" w:rsidRPr="00DB284D" w:rsidRDefault="005C257B" w:rsidP="005C257B">
      <w:pPr>
        <w:rPr>
          <w:sz w:val="22"/>
          <w:szCs w:val="22"/>
        </w:rPr>
      </w:pPr>
    </w:p>
    <w:p w14:paraId="242D04DF" w14:textId="7D15BCBF" w:rsidR="0094662F" w:rsidRDefault="00261C02" w:rsidP="0094662F">
      <w:pPr>
        <w:jc w:val="center"/>
        <w:rPr>
          <w:sz w:val="22"/>
          <w:szCs w:val="22"/>
        </w:rPr>
      </w:pPr>
      <w:proofErr w:type="spellStart"/>
      <w:r w:rsidRPr="00DB284D">
        <w:rPr>
          <w:sz w:val="22"/>
          <w:szCs w:val="22"/>
        </w:rPr>
        <w:t>Taku</w:t>
      </w:r>
      <w:proofErr w:type="spellEnd"/>
      <w:r w:rsidRPr="00DB284D">
        <w:rPr>
          <w:sz w:val="22"/>
          <w:szCs w:val="22"/>
        </w:rPr>
        <w:t xml:space="preserve"> Uchimaru</w:t>
      </w:r>
      <w:r w:rsidR="00DB284D" w:rsidRPr="0005553E">
        <w:rPr>
          <w:sz w:val="22"/>
          <w:szCs w:val="22"/>
          <w:vertAlign w:val="superscript"/>
        </w:rPr>
        <w:t>1</w:t>
      </w:r>
      <w:r w:rsidR="00DB284D" w:rsidRPr="00DB284D">
        <w:rPr>
          <w:sz w:val="22"/>
          <w:szCs w:val="22"/>
        </w:rPr>
        <w:t>, Takuya Miyano</w:t>
      </w:r>
      <w:r w:rsidR="00DB284D" w:rsidRPr="0005553E">
        <w:rPr>
          <w:sz w:val="22"/>
          <w:szCs w:val="22"/>
          <w:vertAlign w:val="superscript"/>
        </w:rPr>
        <w:t>2</w:t>
      </w:r>
      <w:r w:rsidR="005C257B" w:rsidRPr="00DB284D">
        <w:rPr>
          <w:sz w:val="22"/>
          <w:szCs w:val="22"/>
        </w:rPr>
        <w:t xml:space="preserve">, </w:t>
      </w:r>
      <w:r w:rsidR="002E314F">
        <w:rPr>
          <w:sz w:val="22"/>
          <w:szCs w:val="22"/>
        </w:rPr>
        <w:t>Koichi Fujiwara</w:t>
      </w:r>
      <w:r w:rsidR="002E314F" w:rsidRPr="0005553E">
        <w:rPr>
          <w:sz w:val="22"/>
          <w:szCs w:val="22"/>
          <w:vertAlign w:val="superscript"/>
        </w:rPr>
        <w:t>1</w:t>
      </w:r>
      <w:r w:rsidR="002E314F">
        <w:rPr>
          <w:sz w:val="22"/>
          <w:szCs w:val="22"/>
        </w:rPr>
        <w:t xml:space="preserve">, </w:t>
      </w:r>
      <w:r w:rsidR="005C257B" w:rsidRPr="00DB284D">
        <w:rPr>
          <w:sz w:val="22"/>
          <w:szCs w:val="22"/>
        </w:rPr>
        <w:t>Manabu Kano</w:t>
      </w:r>
      <w:r w:rsidR="00DB284D" w:rsidRPr="0005553E">
        <w:rPr>
          <w:sz w:val="22"/>
          <w:szCs w:val="22"/>
          <w:vertAlign w:val="superscript"/>
        </w:rPr>
        <w:t>1</w:t>
      </w:r>
      <w:r w:rsidR="00DB284D" w:rsidRPr="00DB284D">
        <w:rPr>
          <w:sz w:val="22"/>
          <w:szCs w:val="22"/>
        </w:rPr>
        <w:t>, Hideaki Tanabe</w:t>
      </w:r>
      <w:r w:rsidR="00DB284D" w:rsidRPr="0005553E">
        <w:rPr>
          <w:sz w:val="22"/>
          <w:szCs w:val="22"/>
          <w:vertAlign w:val="superscript"/>
        </w:rPr>
        <w:t>2</w:t>
      </w:r>
      <w:r w:rsidR="00DB284D" w:rsidRPr="00DB284D">
        <w:rPr>
          <w:sz w:val="22"/>
          <w:szCs w:val="22"/>
        </w:rPr>
        <w:t>,</w:t>
      </w:r>
    </w:p>
    <w:p w14:paraId="088C28F1" w14:textId="75B51058" w:rsidR="005C257B" w:rsidRPr="00DB284D" w:rsidRDefault="00DB284D" w:rsidP="0094662F">
      <w:pPr>
        <w:jc w:val="center"/>
        <w:rPr>
          <w:sz w:val="22"/>
          <w:szCs w:val="22"/>
        </w:rPr>
      </w:pPr>
      <w:r w:rsidRPr="00DB284D">
        <w:rPr>
          <w:sz w:val="22"/>
          <w:szCs w:val="22"/>
        </w:rPr>
        <w:t>Hiroshi Nakagawa</w:t>
      </w:r>
      <w:r w:rsidRPr="0005553E">
        <w:rPr>
          <w:sz w:val="22"/>
          <w:szCs w:val="22"/>
          <w:vertAlign w:val="superscript"/>
        </w:rPr>
        <w:t>2</w:t>
      </w:r>
      <w:r w:rsidRPr="00DB284D">
        <w:rPr>
          <w:sz w:val="22"/>
          <w:szCs w:val="22"/>
        </w:rPr>
        <w:t xml:space="preserve">, </w:t>
      </w:r>
      <w:proofErr w:type="spellStart"/>
      <w:r w:rsidRPr="00DB284D">
        <w:rPr>
          <w:sz w:val="22"/>
          <w:szCs w:val="22"/>
        </w:rPr>
        <w:t>Tomoyuki</w:t>
      </w:r>
      <w:proofErr w:type="spellEnd"/>
      <w:r w:rsidRPr="00DB284D">
        <w:rPr>
          <w:sz w:val="22"/>
          <w:szCs w:val="22"/>
        </w:rPr>
        <w:t xml:space="preserve"> Watanabe</w:t>
      </w:r>
      <w:r w:rsidRPr="0005553E">
        <w:rPr>
          <w:sz w:val="22"/>
          <w:szCs w:val="22"/>
          <w:vertAlign w:val="superscript"/>
        </w:rPr>
        <w:t>2</w:t>
      </w:r>
      <w:r w:rsidRPr="00DB284D">
        <w:rPr>
          <w:sz w:val="22"/>
          <w:szCs w:val="22"/>
        </w:rPr>
        <w:t>, Naoki Wakiyama</w:t>
      </w:r>
      <w:r w:rsidR="009D5F01">
        <w:rPr>
          <w:sz w:val="22"/>
          <w:szCs w:val="22"/>
          <w:vertAlign w:val="superscript"/>
        </w:rPr>
        <w:t>3</w:t>
      </w:r>
    </w:p>
    <w:p w14:paraId="17563E95" w14:textId="6E8055A5" w:rsidR="00DB284D" w:rsidRPr="00DB284D" w:rsidRDefault="00DB284D" w:rsidP="001C4324">
      <w:pPr>
        <w:ind w:leftChars="184" w:left="442"/>
        <w:rPr>
          <w:sz w:val="22"/>
          <w:szCs w:val="22"/>
        </w:rPr>
      </w:pPr>
      <w:r w:rsidRPr="00DB284D">
        <w:rPr>
          <w:sz w:val="22"/>
          <w:szCs w:val="22"/>
        </w:rPr>
        <w:t>1 Department of Systems Science, Kyoto University, Kyoto, Japan</w:t>
      </w:r>
    </w:p>
    <w:p w14:paraId="41A29BE1" w14:textId="327C7524" w:rsidR="005C257B" w:rsidRDefault="00DB284D" w:rsidP="001C4324">
      <w:pPr>
        <w:ind w:leftChars="184" w:left="442"/>
        <w:rPr>
          <w:sz w:val="22"/>
          <w:szCs w:val="22"/>
        </w:rPr>
      </w:pPr>
      <w:r w:rsidRPr="00DB284D">
        <w:rPr>
          <w:sz w:val="22"/>
          <w:szCs w:val="22"/>
        </w:rPr>
        <w:t xml:space="preserve">2 </w:t>
      </w:r>
      <w:r w:rsidR="005C257B" w:rsidRPr="00DB284D">
        <w:rPr>
          <w:sz w:val="22"/>
          <w:szCs w:val="22"/>
        </w:rPr>
        <w:t xml:space="preserve">Pharmaceutical Technology </w:t>
      </w:r>
      <w:proofErr w:type="gramStart"/>
      <w:r w:rsidR="005C257B" w:rsidRPr="00DB284D">
        <w:rPr>
          <w:sz w:val="22"/>
          <w:szCs w:val="22"/>
        </w:rPr>
        <w:t>Division</w:t>
      </w:r>
      <w:proofErr w:type="gramEnd"/>
      <w:r w:rsidR="005C257B" w:rsidRPr="00DB284D">
        <w:rPr>
          <w:sz w:val="22"/>
          <w:szCs w:val="22"/>
        </w:rPr>
        <w:t xml:space="preserve">, Daiichi Sankyo Co., Ltd., </w:t>
      </w:r>
      <w:r w:rsidR="00E01B0D">
        <w:rPr>
          <w:sz w:val="22"/>
          <w:szCs w:val="22"/>
        </w:rPr>
        <w:t xml:space="preserve">Hiratsuka, </w:t>
      </w:r>
      <w:r w:rsidR="005C257B" w:rsidRPr="00DB284D">
        <w:rPr>
          <w:sz w:val="22"/>
          <w:szCs w:val="22"/>
        </w:rPr>
        <w:t>Japan</w:t>
      </w:r>
    </w:p>
    <w:p w14:paraId="3E40EA24" w14:textId="46A0C9BE" w:rsidR="009D5F01" w:rsidRPr="00DB284D" w:rsidRDefault="009D5F01" w:rsidP="001C4324">
      <w:pPr>
        <w:ind w:leftChars="184" w:left="442"/>
        <w:rPr>
          <w:sz w:val="22"/>
          <w:szCs w:val="22"/>
        </w:rPr>
      </w:pPr>
      <w:r>
        <w:rPr>
          <w:sz w:val="22"/>
          <w:szCs w:val="22"/>
        </w:rPr>
        <w:t xml:space="preserve">3 </w:t>
      </w:r>
      <w:r w:rsidRPr="009D5F01">
        <w:rPr>
          <w:sz w:val="22"/>
          <w:szCs w:val="22"/>
        </w:rPr>
        <w:t xml:space="preserve">Daiichi Sankyo </w:t>
      </w:r>
      <w:proofErr w:type="spellStart"/>
      <w:r w:rsidRPr="009D5F01">
        <w:rPr>
          <w:sz w:val="22"/>
          <w:szCs w:val="22"/>
        </w:rPr>
        <w:t>Propharma</w:t>
      </w:r>
      <w:proofErr w:type="spellEnd"/>
      <w:r w:rsidRPr="009D5F01">
        <w:rPr>
          <w:sz w:val="22"/>
          <w:szCs w:val="22"/>
        </w:rPr>
        <w:t xml:space="preserve"> Co., Ltd.</w:t>
      </w:r>
      <w:r>
        <w:rPr>
          <w:sz w:val="22"/>
          <w:szCs w:val="22"/>
        </w:rPr>
        <w:t xml:space="preserve">, </w:t>
      </w:r>
      <w:r w:rsidR="00E01B0D">
        <w:rPr>
          <w:sz w:val="22"/>
          <w:szCs w:val="22"/>
        </w:rPr>
        <w:t xml:space="preserve">Hiratsuka, </w:t>
      </w:r>
      <w:bookmarkStart w:id="0" w:name="_GoBack"/>
      <w:bookmarkEnd w:id="0"/>
      <w:r w:rsidRPr="00DB284D">
        <w:rPr>
          <w:sz w:val="22"/>
          <w:szCs w:val="22"/>
        </w:rPr>
        <w:t>Japan</w:t>
      </w:r>
    </w:p>
    <w:p w14:paraId="1FBF7327" w14:textId="77777777" w:rsidR="005C257B" w:rsidRDefault="005C257B" w:rsidP="005C257B">
      <w:pPr>
        <w:rPr>
          <w:sz w:val="22"/>
          <w:szCs w:val="22"/>
        </w:rPr>
      </w:pPr>
    </w:p>
    <w:p w14:paraId="6584285E" w14:textId="529C81E5" w:rsidR="005C257B" w:rsidRPr="00DB284D" w:rsidRDefault="005C257B" w:rsidP="005C257B">
      <w:pPr>
        <w:rPr>
          <w:sz w:val="22"/>
          <w:szCs w:val="22"/>
        </w:rPr>
      </w:pPr>
      <w:r w:rsidRPr="00DB284D">
        <w:rPr>
          <w:sz w:val="22"/>
          <w:szCs w:val="22"/>
        </w:rPr>
        <w:t>Abstract</w:t>
      </w:r>
      <w:r w:rsidR="00FD6A76">
        <w:rPr>
          <w:sz w:val="22"/>
          <w:szCs w:val="22"/>
        </w:rPr>
        <w:t>:</w:t>
      </w:r>
    </w:p>
    <w:p w14:paraId="5D8EA865" w14:textId="76D8C033" w:rsidR="001136B8" w:rsidRDefault="006D680F" w:rsidP="00C4682E">
      <w:pPr>
        <w:ind w:firstLine="960"/>
        <w:rPr>
          <w:sz w:val="22"/>
          <w:szCs w:val="22"/>
        </w:rPr>
      </w:pPr>
      <w:r>
        <w:rPr>
          <w:sz w:val="22"/>
          <w:szCs w:val="22"/>
        </w:rPr>
        <w:t>T</w:t>
      </w:r>
      <w:r w:rsidRPr="00DB284D">
        <w:rPr>
          <w:sz w:val="22"/>
          <w:szCs w:val="22"/>
        </w:rPr>
        <w:t>o improve understanding of manufacturing processes</w:t>
      </w:r>
      <w:r>
        <w:rPr>
          <w:sz w:val="22"/>
          <w:szCs w:val="22"/>
        </w:rPr>
        <w:t>,</w:t>
      </w:r>
      <w:r w:rsidRPr="00DB284D">
        <w:rPr>
          <w:sz w:val="22"/>
          <w:szCs w:val="22"/>
        </w:rPr>
        <w:t xml:space="preserve"> process analytical technology (PAT)</w:t>
      </w:r>
      <w:r w:rsidR="00C46210">
        <w:rPr>
          <w:sz w:val="22"/>
          <w:szCs w:val="22"/>
        </w:rPr>
        <w:t xml:space="preserve"> has played a</w:t>
      </w:r>
      <w:r w:rsidR="00C4682E">
        <w:rPr>
          <w:sz w:val="22"/>
          <w:szCs w:val="22"/>
        </w:rPr>
        <w:t>n important</w:t>
      </w:r>
      <w:r w:rsidR="00C46210">
        <w:rPr>
          <w:sz w:val="22"/>
          <w:szCs w:val="22"/>
        </w:rPr>
        <w:t xml:space="preserve"> role. Although a large number of successful applications of PAT have been reported, it is still needed to </w:t>
      </w:r>
      <w:r w:rsidR="002F4379">
        <w:rPr>
          <w:sz w:val="22"/>
          <w:szCs w:val="22"/>
        </w:rPr>
        <w:t>answer the question</w:t>
      </w:r>
      <w:r w:rsidR="00C46210">
        <w:rPr>
          <w:sz w:val="22"/>
          <w:szCs w:val="22"/>
        </w:rPr>
        <w:t xml:space="preserve">: </w:t>
      </w:r>
      <w:r w:rsidR="005C257B" w:rsidRPr="00DB284D">
        <w:rPr>
          <w:sz w:val="22"/>
          <w:szCs w:val="22"/>
        </w:rPr>
        <w:t xml:space="preserve">how </w:t>
      </w:r>
      <w:r w:rsidR="00C46210">
        <w:rPr>
          <w:sz w:val="22"/>
          <w:szCs w:val="22"/>
        </w:rPr>
        <w:t xml:space="preserve">to </w:t>
      </w:r>
      <w:r w:rsidR="005C257B" w:rsidRPr="00DB284D">
        <w:rPr>
          <w:sz w:val="22"/>
          <w:szCs w:val="22"/>
        </w:rPr>
        <w:t>develop an accurate and robust calibration model based on near infrared (NIR) spectroscopy</w:t>
      </w:r>
      <w:r w:rsidR="00CB606C">
        <w:rPr>
          <w:sz w:val="22"/>
          <w:szCs w:val="22"/>
        </w:rPr>
        <w:t xml:space="preserve">. </w:t>
      </w:r>
      <w:r w:rsidR="0020633C">
        <w:rPr>
          <w:sz w:val="22"/>
          <w:szCs w:val="22"/>
        </w:rPr>
        <w:t xml:space="preserve">In general, one has to carefully select data for modeling and validation, preprocessing methods, input variables, modeling methods, and so on to build an accurate and </w:t>
      </w:r>
      <w:r w:rsidR="0020633C" w:rsidRPr="00DB284D">
        <w:rPr>
          <w:sz w:val="22"/>
          <w:szCs w:val="22"/>
        </w:rPr>
        <w:t>robust model</w:t>
      </w:r>
      <w:r w:rsidR="0020633C">
        <w:rPr>
          <w:sz w:val="22"/>
          <w:szCs w:val="22"/>
        </w:rPr>
        <w:t xml:space="preserve">. </w:t>
      </w:r>
      <w:r w:rsidR="00C65326">
        <w:rPr>
          <w:sz w:val="22"/>
          <w:szCs w:val="22"/>
        </w:rPr>
        <w:t xml:space="preserve">In calibration modeling, </w:t>
      </w:r>
      <w:r w:rsidR="007C7BD8">
        <w:rPr>
          <w:sz w:val="22"/>
          <w:szCs w:val="22"/>
        </w:rPr>
        <w:t>p</w:t>
      </w:r>
      <w:r w:rsidR="007C7BD8" w:rsidRPr="00DB284D">
        <w:rPr>
          <w:sz w:val="22"/>
          <w:szCs w:val="22"/>
        </w:rPr>
        <w:t>artial least squares (PLS)</w:t>
      </w:r>
      <w:r w:rsidR="007C7BD8">
        <w:rPr>
          <w:sz w:val="22"/>
          <w:szCs w:val="22"/>
        </w:rPr>
        <w:t xml:space="preserve"> are usually adopted to cope with </w:t>
      </w:r>
      <w:proofErr w:type="spellStart"/>
      <w:r w:rsidR="007C7BD8">
        <w:rPr>
          <w:sz w:val="22"/>
          <w:szCs w:val="22"/>
        </w:rPr>
        <w:t>collineartiry</w:t>
      </w:r>
      <w:proofErr w:type="spellEnd"/>
      <w:r w:rsidR="007C7BD8">
        <w:rPr>
          <w:sz w:val="22"/>
          <w:szCs w:val="22"/>
        </w:rPr>
        <w:t xml:space="preserve"> among </w:t>
      </w:r>
      <w:r w:rsidR="009C55C9">
        <w:rPr>
          <w:sz w:val="22"/>
          <w:szCs w:val="22"/>
        </w:rPr>
        <w:t xml:space="preserve">input variables, i.e., </w:t>
      </w:r>
      <w:r w:rsidR="009C55C9" w:rsidRPr="009C55C9">
        <w:rPr>
          <w:sz w:val="22"/>
          <w:szCs w:val="22"/>
        </w:rPr>
        <w:t>absorbance or reflectance</w:t>
      </w:r>
      <w:r w:rsidR="009C55C9">
        <w:rPr>
          <w:sz w:val="22"/>
          <w:szCs w:val="22"/>
        </w:rPr>
        <w:t xml:space="preserve"> at several hundred </w:t>
      </w:r>
      <w:r w:rsidR="004C1270">
        <w:rPr>
          <w:sz w:val="22"/>
          <w:szCs w:val="22"/>
        </w:rPr>
        <w:t>or</w:t>
      </w:r>
      <w:r w:rsidR="00851E65">
        <w:rPr>
          <w:sz w:val="22"/>
          <w:szCs w:val="22"/>
        </w:rPr>
        <w:t xml:space="preserve"> thousand </w:t>
      </w:r>
      <w:r w:rsidR="009C55C9">
        <w:rPr>
          <w:sz w:val="22"/>
          <w:szCs w:val="22"/>
        </w:rPr>
        <w:t xml:space="preserve">wavenumbers. </w:t>
      </w:r>
      <w:r w:rsidR="00B513F5">
        <w:rPr>
          <w:sz w:val="22"/>
          <w:szCs w:val="22"/>
        </w:rPr>
        <w:t xml:space="preserve">Not all the input variables are necessary to estimate an output variable. In fact, to achieve highly accurate estimation, input variable selection is crucial. </w:t>
      </w:r>
    </w:p>
    <w:p w14:paraId="38DF2D15" w14:textId="64D14596" w:rsidR="00996410" w:rsidRDefault="001106FB" w:rsidP="00996410">
      <w:pPr>
        <w:ind w:firstLine="960"/>
        <w:rPr>
          <w:sz w:val="22"/>
          <w:szCs w:val="22"/>
        </w:rPr>
      </w:pPr>
      <w:r>
        <w:rPr>
          <w:sz w:val="22"/>
          <w:szCs w:val="22"/>
        </w:rPr>
        <w:t xml:space="preserve">In the present work, </w:t>
      </w:r>
      <w:r w:rsidR="005C257B" w:rsidRPr="00DB284D">
        <w:rPr>
          <w:sz w:val="22"/>
          <w:szCs w:val="22"/>
        </w:rPr>
        <w:t>new efficient wavenumber selection method</w:t>
      </w:r>
      <w:r>
        <w:rPr>
          <w:sz w:val="22"/>
          <w:szCs w:val="22"/>
        </w:rPr>
        <w:t>s</w:t>
      </w:r>
      <w:r w:rsidR="005C257B" w:rsidRPr="00DB284D">
        <w:rPr>
          <w:sz w:val="22"/>
          <w:szCs w:val="22"/>
        </w:rPr>
        <w:t xml:space="preserve"> </w:t>
      </w:r>
      <w:r>
        <w:rPr>
          <w:sz w:val="22"/>
          <w:szCs w:val="22"/>
        </w:rPr>
        <w:t>are</w:t>
      </w:r>
      <w:r w:rsidR="005C257B" w:rsidRPr="00DB284D">
        <w:rPr>
          <w:sz w:val="22"/>
          <w:szCs w:val="22"/>
        </w:rPr>
        <w:t xml:space="preserve"> proposed</w:t>
      </w:r>
      <w:r w:rsidR="00F133FA">
        <w:rPr>
          <w:sz w:val="22"/>
          <w:szCs w:val="22"/>
        </w:rPr>
        <w:t xml:space="preserve"> to achieve high</w:t>
      </w:r>
      <w:r w:rsidR="00E27676">
        <w:rPr>
          <w:sz w:val="22"/>
          <w:szCs w:val="22"/>
        </w:rPr>
        <w:t>er</w:t>
      </w:r>
      <w:r w:rsidR="00F133FA">
        <w:rPr>
          <w:sz w:val="22"/>
          <w:szCs w:val="22"/>
        </w:rPr>
        <w:t xml:space="preserve"> estimation accuracy</w:t>
      </w:r>
      <w:r w:rsidR="00E27676">
        <w:rPr>
          <w:sz w:val="22"/>
          <w:szCs w:val="22"/>
        </w:rPr>
        <w:t xml:space="preserve"> than conventional methods</w:t>
      </w:r>
      <w:r w:rsidR="00F133FA">
        <w:rPr>
          <w:sz w:val="22"/>
          <w:szCs w:val="22"/>
        </w:rPr>
        <w:t xml:space="preserve"> and also</w:t>
      </w:r>
      <w:r w:rsidR="005C257B" w:rsidRPr="00DB284D">
        <w:rPr>
          <w:sz w:val="22"/>
          <w:szCs w:val="22"/>
        </w:rPr>
        <w:t xml:space="preserve"> to significantly reduce the computational load required by conventional wavenumber selection methods such as interval PLS. In the </w:t>
      </w:r>
      <w:r w:rsidR="00A7428F">
        <w:rPr>
          <w:sz w:val="22"/>
          <w:szCs w:val="22"/>
        </w:rPr>
        <w:t xml:space="preserve">first </w:t>
      </w:r>
      <w:r w:rsidR="005C257B" w:rsidRPr="00DB284D">
        <w:rPr>
          <w:sz w:val="22"/>
          <w:szCs w:val="22"/>
        </w:rPr>
        <w:t xml:space="preserve">method, </w:t>
      </w:r>
      <w:r w:rsidR="00A7428F">
        <w:rPr>
          <w:sz w:val="22"/>
          <w:szCs w:val="22"/>
        </w:rPr>
        <w:t>referred to as R+VIP, two conventional indexes for input variable selection, i.e., the correlation coefficient</w:t>
      </w:r>
      <w:r w:rsidR="00E43DA2">
        <w:rPr>
          <w:sz w:val="22"/>
          <w:szCs w:val="22"/>
        </w:rPr>
        <w:t>s</w:t>
      </w:r>
      <w:r w:rsidR="00A7428F">
        <w:rPr>
          <w:sz w:val="22"/>
          <w:szCs w:val="22"/>
        </w:rPr>
        <w:t xml:space="preserve"> R and </w:t>
      </w:r>
      <w:r w:rsidR="00A7428F" w:rsidRPr="00A7428F">
        <w:rPr>
          <w:sz w:val="22"/>
          <w:szCs w:val="22"/>
        </w:rPr>
        <w:t>variable influence on projection (VIP)</w:t>
      </w:r>
      <w:r w:rsidR="00A7428F">
        <w:rPr>
          <w:sz w:val="22"/>
          <w:szCs w:val="22"/>
        </w:rPr>
        <w:t xml:space="preserve"> are combined into one index.</w:t>
      </w:r>
      <w:r w:rsidR="00503974">
        <w:rPr>
          <w:sz w:val="22"/>
          <w:szCs w:val="22"/>
        </w:rPr>
        <w:t xml:space="preserve"> As a result, </w:t>
      </w:r>
      <w:r w:rsidR="00E43DA2">
        <w:rPr>
          <w:sz w:val="22"/>
          <w:szCs w:val="22"/>
        </w:rPr>
        <w:t xml:space="preserve">R+VIP has </w:t>
      </w:r>
      <w:r w:rsidR="006B72A7">
        <w:rPr>
          <w:sz w:val="22"/>
          <w:szCs w:val="22"/>
        </w:rPr>
        <w:t xml:space="preserve">advantages of both </w:t>
      </w:r>
      <w:r w:rsidR="00E43DA2">
        <w:rPr>
          <w:sz w:val="22"/>
          <w:szCs w:val="22"/>
        </w:rPr>
        <w:t>indexes and functions effectively.</w:t>
      </w:r>
      <w:r w:rsidR="00A53A36">
        <w:rPr>
          <w:sz w:val="22"/>
          <w:szCs w:val="22"/>
        </w:rPr>
        <w:t xml:space="preserve"> </w:t>
      </w:r>
      <w:r w:rsidR="00E43DA2">
        <w:rPr>
          <w:sz w:val="22"/>
          <w:szCs w:val="22"/>
        </w:rPr>
        <w:t>T</w:t>
      </w:r>
      <w:r w:rsidR="00E43DA2" w:rsidRPr="00DB284D">
        <w:rPr>
          <w:sz w:val="22"/>
          <w:szCs w:val="22"/>
        </w:rPr>
        <w:t xml:space="preserve">he </w:t>
      </w:r>
      <w:r w:rsidR="00E43DA2">
        <w:rPr>
          <w:sz w:val="22"/>
          <w:szCs w:val="22"/>
        </w:rPr>
        <w:t xml:space="preserve">second </w:t>
      </w:r>
      <w:r w:rsidR="00E43DA2" w:rsidRPr="00DB284D">
        <w:rPr>
          <w:sz w:val="22"/>
          <w:szCs w:val="22"/>
        </w:rPr>
        <w:t>method</w:t>
      </w:r>
      <w:r w:rsidR="00E43DA2">
        <w:rPr>
          <w:sz w:val="22"/>
          <w:szCs w:val="22"/>
        </w:rPr>
        <w:t xml:space="preserve"> </w:t>
      </w:r>
      <w:r w:rsidR="00A7428F" w:rsidRPr="00DB284D">
        <w:rPr>
          <w:sz w:val="22"/>
          <w:szCs w:val="22"/>
        </w:rPr>
        <w:t>is named as spectral fluctuation dividing (SFD).</w:t>
      </w:r>
      <w:r w:rsidR="00CC3EE3">
        <w:rPr>
          <w:sz w:val="22"/>
          <w:szCs w:val="22"/>
        </w:rPr>
        <w:t xml:space="preserve"> In this method, </w:t>
      </w:r>
      <w:r w:rsidR="005C257B" w:rsidRPr="00DB284D">
        <w:rPr>
          <w:sz w:val="22"/>
          <w:szCs w:val="22"/>
        </w:rPr>
        <w:t xml:space="preserve">a whole spectrum is divided into multiple spectral intervals at local minimum points of the spectral fluctuation profile, which consists of the standard deviation of absorbance at each wavenumber in a calibration set, and the spectral intervals of significant relationships with </w:t>
      </w:r>
      <w:r w:rsidR="007550AB">
        <w:rPr>
          <w:sz w:val="22"/>
          <w:szCs w:val="22"/>
        </w:rPr>
        <w:t>a target response are selected.</w:t>
      </w:r>
    </w:p>
    <w:p w14:paraId="4B6765DB" w14:textId="45040213" w:rsidR="00996410" w:rsidRDefault="00996410" w:rsidP="00996410">
      <w:pPr>
        <w:ind w:firstLine="960"/>
        <w:rPr>
          <w:sz w:val="22"/>
          <w:szCs w:val="22"/>
        </w:rPr>
      </w:pPr>
      <w:r w:rsidRPr="00996410">
        <w:rPr>
          <w:sz w:val="22"/>
          <w:szCs w:val="22"/>
        </w:rPr>
        <w:t xml:space="preserve">The usefulness of the proposed </w:t>
      </w:r>
      <w:r>
        <w:rPr>
          <w:sz w:val="22"/>
          <w:szCs w:val="22"/>
        </w:rPr>
        <w:t>methods</w:t>
      </w:r>
      <w:r w:rsidRPr="00996410">
        <w:rPr>
          <w:sz w:val="22"/>
          <w:szCs w:val="22"/>
        </w:rPr>
        <w:t xml:space="preserve"> in terms of both improving the estimation accuracy and reducing the computational load is demonstrated through its application to the problems of estimating water and drug contents in granules.</w:t>
      </w:r>
    </w:p>
    <w:p w14:paraId="45D07EE0" w14:textId="4904A37D" w:rsidR="007A2C09" w:rsidRDefault="000926FB" w:rsidP="00996410">
      <w:pPr>
        <w:ind w:firstLine="960"/>
        <w:rPr>
          <w:sz w:val="22"/>
          <w:szCs w:val="22"/>
        </w:rPr>
      </w:pPr>
      <w:r w:rsidRPr="000926FB">
        <w:rPr>
          <w:sz w:val="22"/>
          <w:szCs w:val="22"/>
        </w:rPr>
        <w:t xml:space="preserve">Granules containing a drug substance (Daiichi-Sankyo, Japan) were used as </w:t>
      </w:r>
      <w:proofErr w:type="spellStart"/>
      <w:r w:rsidRPr="000926FB">
        <w:rPr>
          <w:sz w:val="22"/>
          <w:szCs w:val="22"/>
        </w:rPr>
        <w:t>analyte</w:t>
      </w:r>
      <w:proofErr w:type="spellEnd"/>
      <w:r w:rsidRPr="000926FB">
        <w:rPr>
          <w:sz w:val="22"/>
          <w:szCs w:val="22"/>
        </w:rPr>
        <w:t>.</w:t>
      </w:r>
      <w:r w:rsidR="001A2AFC">
        <w:rPr>
          <w:sz w:val="22"/>
          <w:szCs w:val="22"/>
        </w:rPr>
        <w:t xml:space="preserve"> </w:t>
      </w:r>
      <w:r w:rsidR="006B77FD" w:rsidRPr="006B77FD">
        <w:rPr>
          <w:sz w:val="22"/>
          <w:szCs w:val="22"/>
        </w:rPr>
        <w:lastRenderedPageBreak/>
        <w:t>In granulation process, real-time NIR measurement was performed using a Fourier-transform NIR spectrometer MPA (</w:t>
      </w:r>
      <w:proofErr w:type="spellStart"/>
      <w:r w:rsidR="006B77FD" w:rsidRPr="006B77FD">
        <w:rPr>
          <w:sz w:val="22"/>
          <w:szCs w:val="22"/>
        </w:rPr>
        <w:t>Bruker</w:t>
      </w:r>
      <w:proofErr w:type="spellEnd"/>
      <w:r w:rsidR="006B77FD" w:rsidRPr="006B77FD">
        <w:rPr>
          <w:sz w:val="22"/>
          <w:szCs w:val="22"/>
        </w:rPr>
        <w:t xml:space="preserve"> GmbH, Germany) and equivalent Matrix-F (</w:t>
      </w:r>
      <w:proofErr w:type="spellStart"/>
      <w:r w:rsidR="006B77FD" w:rsidRPr="006B77FD">
        <w:rPr>
          <w:sz w:val="22"/>
          <w:szCs w:val="22"/>
        </w:rPr>
        <w:t>Bruker</w:t>
      </w:r>
      <w:proofErr w:type="spellEnd"/>
      <w:r w:rsidR="006B77FD" w:rsidRPr="006B77FD">
        <w:rPr>
          <w:sz w:val="22"/>
          <w:szCs w:val="22"/>
        </w:rPr>
        <w:t xml:space="preserve"> GmbH, Germany) through a fiber-optic probe mounted in the fluid bed granulator. The NIR spectra were obtained at every </w:t>
      </w:r>
      <w:proofErr w:type="gramStart"/>
      <w:r w:rsidR="006B77FD" w:rsidRPr="006B77FD">
        <w:rPr>
          <w:sz w:val="22"/>
          <w:szCs w:val="22"/>
        </w:rPr>
        <w:t>one minute</w:t>
      </w:r>
      <w:proofErr w:type="gramEnd"/>
      <w:r w:rsidR="006B77FD" w:rsidRPr="006B77FD">
        <w:rPr>
          <w:sz w:val="22"/>
          <w:szCs w:val="22"/>
        </w:rPr>
        <w:t xml:space="preserve"> during the granulation process. For blended granules, NIR measurement was performed using a Fourier-transform NIR spectrometer MPA (</w:t>
      </w:r>
      <w:proofErr w:type="spellStart"/>
      <w:r w:rsidR="006B77FD" w:rsidRPr="006B77FD">
        <w:rPr>
          <w:sz w:val="22"/>
          <w:szCs w:val="22"/>
        </w:rPr>
        <w:t>Bruker</w:t>
      </w:r>
      <w:proofErr w:type="spellEnd"/>
      <w:r w:rsidR="006B77FD" w:rsidRPr="006B77FD">
        <w:rPr>
          <w:sz w:val="22"/>
          <w:szCs w:val="22"/>
        </w:rPr>
        <w:t xml:space="preserve"> GmbH, Germany).</w:t>
      </w:r>
      <w:r w:rsidR="006B77FD">
        <w:rPr>
          <w:sz w:val="22"/>
          <w:szCs w:val="22"/>
        </w:rPr>
        <w:t xml:space="preserve"> </w:t>
      </w:r>
      <w:r w:rsidR="00ED786A">
        <w:rPr>
          <w:sz w:val="22"/>
          <w:szCs w:val="22"/>
        </w:rPr>
        <w:t>In addition</w:t>
      </w:r>
      <w:r w:rsidR="000660DA">
        <w:rPr>
          <w:sz w:val="22"/>
          <w:szCs w:val="22"/>
        </w:rPr>
        <w:t xml:space="preserve">, </w:t>
      </w:r>
      <w:r w:rsidR="000660DA" w:rsidRPr="000660DA">
        <w:rPr>
          <w:sz w:val="22"/>
          <w:szCs w:val="22"/>
        </w:rPr>
        <w:t xml:space="preserve">granules were sampled from the fluid bed granulator at every ten minutes during granulation and at the end of both the spraying and the drying. Water content of the sampled granules was measured by </w:t>
      </w:r>
      <w:r w:rsidR="00763178">
        <w:rPr>
          <w:sz w:val="22"/>
          <w:szCs w:val="22"/>
        </w:rPr>
        <w:t>the loss on drying (LOD) method</w:t>
      </w:r>
      <w:r w:rsidR="000660DA" w:rsidRPr="000660DA">
        <w:rPr>
          <w:sz w:val="22"/>
          <w:szCs w:val="22"/>
        </w:rPr>
        <w:t xml:space="preserve">, </w:t>
      </w:r>
      <w:r w:rsidR="00763178">
        <w:rPr>
          <w:sz w:val="22"/>
          <w:szCs w:val="22"/>
        </w:rPr>
        <w:t xml:space="preserve">and </w:t>
      </w:r>
      <w:r w:rsidR="000660DA" w:rsidRPr="000660DA">
        <w:rPr>
          <w:sz w:val="22"/>
          <w:szCs w:val="22"/>
        </w:rPr>
        <w:t>drug content in the blended granules was measured by the high performance liquid chromatography (HPLC) method.</w:t>
      </w:r>
    </w:p>
    <w:p w14:paraId="54D273B9" w14:textId="06DC2247" w:rsidR="004150AB" w:rsidRPr="004150AB" w:rsidRDefault="004150AB" w:rsidP="004150AB">
      <w:pPr>
        <w:ind w:firstLine="960"/>
        <w:rPr>
          <w:sz w:val="22"/>
          <w:szCs w:val="22"/>
        </w:rPr>
      </w:pPr>
      <w:r>
        <w:rPr>
          <w:sz w:val="22"/>
          <w:szCs w:val="22"/>
        </w:rPr>
        <w:t xml:space="preserve">In this work, the </w:t>
      </w:r>
      <w:r w:rsidR="00E109FC">
        <w:rPr>
          <w:sz w:val="22"/>
          <w:szCs w:val="22"/>
        </w:rPr>
        <w:t xml:space="preserve">following </w:t>
      </w:r>
      <w:r w:rsidRPr="004150AB">
        <w:rPr>
          <w:sz w:val="22"/>
          <w:szCs w:val="22"/>
        </w:rPr>
        <w:t xml:space="preserve">wavenumber selection </w:t>
      </w:r>
      <w:r w:rsidR="00006A29">
        <w:rPr>
          <w:sz w:val="22"/>
          <w:szCs w:val="22"/>
        </w:rPr>
        <w:t>indexes/</w:t>
      </w:r>
      <w:r w:rsidRPr="004150AB">
        <w:rPr>
          <w:sz w:val="22"/>
          <w:szCs w:val="22"/>
        </w:rPr>
        <w:t xml:space="preserve">methods were compared. </w:t>
      </w:r>
    </w:p>
    <w:p w14:paraId="33992386" w14:textId="7E363098" w:rsidR="00E109FC" w:rsidRDefault="00E109FC" w:rsidP="0072138A">
      <w:pPr>
        <w:pStyle w:val="a3"/>
        <w:numPr>
          <w:ilvl w:val="0"/>
          <w:numId w:val="1"/>
        </w:numPr>
        <w:ind w:leftChars="0" w:left="1701"/>
        <w:rPr>
          <w:sz w:val="22"/>
          <w:szCs w:val="22"/>
        </w:rPr>
      </w:pPr>
      <w:r>
        <w:rPr>
          <w:sz w:val="22"/>
          <w:szCs w:val="22"/>
        </w:rPr>
        <w:t>Correlation coefficients (R)</w:t>
      </w:r>
    </w:p>
    <w:p w14:paraId="446DC846" w14:textId="169118BB" w:rsidR="004150AB" w:rsidRPr="00E109FC" w:rsidRDefault="004150AB" w:rsidP="0072138A">
      <w:pPr>
        <w:pStyle w:val="a3"/>
        <w:numPr>
          <w:ilvl w:val="0"/>
          <w:numId w:val="1"/>
        </w:numPr>
        <w:ind w:leftChars="0" w:left="1701"/>
        <w:rPr>
          <w:sz w:val="22"/>
          <w:szCs w:val="22"/>
        </w:rPr>
      </w:pPr>
      <w:r w:rsidRPr="00E109FC">
        <w:rPr>
          <w:sz w:val="22"/>
          <w:szCs w:val="22"/>
        </w:rPr>
        <w:t>PLS-beta</w:t>
      </w:r>
    </w:p>
    <w:p w14:paraId="67376015" w14:textId="77777777" w:rsidR="00A35DCC" w:rsidRDefault="004150AB" w:rsidP="0072138A">
      <w:pPr>
        <w:pStyle w:val="a3"/>
        <w:numPr>
          <w:ilvl w:val="0"/>
          <w:numId w:val="1"/>
        </w:numPr>
        <w:ind w:leftChars="0" w:left="1701"/>
        <w:rPr>
          <w:sz w:val="22"/>
          <w:szCs w:val="22"/>
        </w:rPr>
      </w:pPr>
      <w:r w:rsidRPr="00E109FC">
        <w:rPr>
          <w:sz w:val="22"/>
          <w:szCs w:val="22"/>
        </w:rPr>
        <w:t>Variab</w:t>
      </w:r>
      <w:r w:rsidR="0093022E">
        <w:rPr>
          <w:sz w:val="22"/>
          <w:szCs w:val="22"/>
        </w:rPr>
        <w:t>le influence on projection (VIP</w:t>
      </w:r>
      <w:r w:rsidRPr="00E109FC">
        <w:rPr>
          <w:sz w:val="22"/>
          <w:szCs w:val="22"/>
        </w:rPr>
        <w:t>)</w:t>
      </w:r>
    </w:p>
    <w:p w14:paraId="4FC33259" w14:textId="0E6F7021" w:rsidR="00A35DCC" w:rsidRDefault="00A35DCC" w:rsidP="0072138A">
      <w:pPr>
        <w:pStyle w:val="a3"/>
        <w:numPr>
          <w:ilvl w:val="0"/>
          <w:numId w:val="1"/>
        </w:numPr>
        <w:ind w:leftChars="0" w:left="1701"/>
        <w:rPr>
          <w:sz w:val="22"/>
          <w:szCs w:val="22"/>
        </w:rPr>
      </w:pPr>
      <w:r>
        <w:rPr>
          <w:sz w:val="22"/>
          <w:szCs w:val="22"/>
        </w:rPr>
        <w:t>R+VIP</w:t>
      </w:r>
    </w:p>
    <w:p w14:paraId="1072CDE1" w14:textId="77777777" w:rsidR="00A35DCC" w:rsidRDefault="004150AB" w:rsidP="0072138A">
      <w:pPr>
        <w:pStyle w:val="a3"/>
        <w:numPr>
          <w:ilvl w:val="0"/>
          <w:numId w:val="1"/>
        </w:numPr>
        <w:ind w:leftChars="0" w:left="1701"/>
        <w:rPr>
          <w:sz w:val="22"/>
          <w:szCs w:val="22"/>
        </w:rPr>
      </w:pPr>
      <w:r w:rsidRPr="00A35DCC">
        <w:rPr>
          <w:sz w:val="22"/>
          <w:szCs w:val="22"/>
        </w:rPr>
        <w:t>Interval PLS (</w:t>
      </w:r>
      <w:proofErr w:type="spellStart"/>
      <w:r w:rsidRPr="00A35DCC">
        <w:rPr>
          <w:sz w:val="22"/>
          <w:szCs w:val="22"/>
        </w:rPr>
        <w:t>iPLS</w:t>
      </w:r>
      <w:proofErr w:type="spellEnd"/>
      <w:r w:rsidRPr="00A35DCC">
        <w:rPr>
          <w:sz w:val="22"/>
          <w:szCs w:val="22"/>
        </w:rPr>
        <w:t>)</w:t>
      </w:r>
    </w:p>
    <w:p w14:paraId="3C52132D" w14:textId="0C34951C" w:rsidR="005F73F5" w:rsidRDefault="0067095A" w:rsidP="0072138A">
      <w:pPr>
        <w:pStyle w:val="a3"/>
        <w:numPr>
          <w:ilvl w:val="0"/>
          <w:numId w:val="1"/>
        </w:numPr>
        <w:ind w:leftChars="0" w:left="1701"/>
        <w:rPr>
          <w:sz w:val="22"/>
          <w:szCs w:val="22"/>
        </w:rPr>
      </w:pPr>
      <w:r>
        <w:rPr>
          <w:sz w:val="22"/>
          <w:szCs w:val="22"/>
        </w:rPr>
        <w:t>Nearest Correlation Spectral Clustering (</w:t>
      </w:r>
      <w:r w:rsidR="005F73F5">
        <w:rPr>
          <w:sz w:val="22"/>
          <w:szCs w:val="22"/>
        </w:rPr>
        <w:t>NCSC</w:t>
      </w:r>
      <w:r>
        <w:rPr>
          <w:sz w:val="22"/>
          <w:szCs w:val="22"/>
        </w:rPr>
        <w:t>)</w:t>
      </w:r>
    </w:p>
    <w:p w14:paraId="14EB9C56" w14:textId="3BC2D12E" w:rsidR="00A35DCC" w:rsidRDefault="004150AB" w:rsidP="0072138A">
      <w:pPr>
        <w:pStyle w:val="a3"/>
        <w:numPr>
          <w:ilvl w:val="0"/>
          <w:numId w:val="1"/>
        </w:numPr>
        <w:ind w:leftChars="0" w:left="1701"/>
        <w:rPr>
          <w:sz w:val="22"/>
          <w:szCs w:val="22"/>
        </w:rPr>
      </w:pPr>
      <w:r w:rsidRPr="00A35DCC">
        <w:rPr>
          <w:sz w:val="22"/>
          <w:szCs w:val="22"/>
        </w:rPr>
        <w:t>Spectral fluctuation dividing (SFD)</w:t>
      </w:r>
    </w:p>
    <w:p w14:paraId="61C777F6" w14:textId="4E9A3613" w:rsidR="005F73F5" w:rsidRPr="00491A49" w:rsidRDefault="00C14381" w:rsidP="0072138A">
      <w:pPr>
        <w:pStyle w:val="a3"/>
        <w:numPr>
          <w:ilvl w:val="0"/>
          <w:numId w:val="1"/>
        </w:numPr>
        <w:ind w:leftChars="0" w:left="1701"/>
        <w:rPr>
          <w:sz w:val="22"/>
          <w:szCs w:val="22"/>
        </w:rPr>
      </w:pPr>
      <w:r>
        <w:rPr>
          <w:sz w:val="22"/>
          <w:szCs w:val="22"/>
        </w:rPr>
        <w:t>Moving averaged SFD (MASFD</w:t>
      </w:r>
      <w:r w:rsidR="004150AB" w:rsidRPr="00A35DCC">
        <w:rPr>
          <w:sz w:val="22"/>
          <w:szCs w:val="22"/>
        </w:rPr>
        <w:t>)</w:t>
      </w:r>
    </w:p>
    <w:p w14:paraId="64871AF6" w14:textId="095AD143" w:rsidR="0072138A" w:rsidRDefault="005C257B">
      <w:pPr>
        <w:rPr>
          <w:sz w:val="22"/>
          <w:szCs w:val="22"/>
        </w:rPr>
      </w:pPr>
      <w:r w:rsidRPr="00DB284D">
        <w:rPr>
          <w:sz w:val="22"/>
          <w:szCs w:val="22"/>
        </w:rPr>
        <w:t>Th</w:t>
      </w:r>
      <w:r w:rsidR="0072138A">
        <w:rPr>
          <w:sz w:val="22"/>
          <w:szCs w:val="22"/>
        </w:rPr>
        <w:t>e</w:t>
      </w:r>
      <w:r w:rsidRPr="00DB284D">
        <w:rPr>
          <w:sz w:val="22"/>
          <w:szCs w:val="22"/>
        </w:rPr>
        <w:t xml:space="preserve"> </w:t>
      </w:r>
      <w:r w:rsidR="0072138A">
        <w:rPr>
          <w:sz w:val="22"/>
          <w:szCs w:val="22"/>
        </w:rPr>
        <w:t>results</w:t>
      </w:r>
      <w:r w:rsidRPr="00DB284D">
        <w:rPr>
          <w:sz w:val="22"/>
          <w:szCs w:val="22"/>
        </w:rPr>
        <w:t xml:space="preserve"> demonstrated the usefulness of </w:t>
      </w:r>
      <w:r w:rsidR="00413018">
        <w:rPr>
          <w:sz w:val="22"/>
          <w:szCs w:val="22"/>
        </w:rPr>
        <w:t xml:space="preserve">R+VIP and </w:t>
      </w:r>
      <w:r w:rsidRPr="00DB284D">
        <w:rPr>
          <w:sz w:val="22"/>
          <w:szCs w:val="22"/>
        </w:rPr>
        <w:t>SFD.</w:t>
      </w:r>
      <w:r w:rsidR="00B97E1B">
        <w:rPr>
          <w:sz w:val="22"/>
          <w:szCs w:val="22"/>
        </w:rPr>
        <w:t xml:space="preserve"> </w:t>
      </w:r>
      <w:r w:rsidR="0041242E">
        <w:rPr>
          <w:sz w:val="22"/>
          <w:szCs w:val="22"/>
        </w:rPr>
        <w:t>In fact,</w:t>
      </w:r>
      <w:r w:rsidR="0072138A" w:rsidRPr="0072138A">
        <w:rPr>
          <w:sz w:val="22"/>
          <w:szCs w:val="22"/>
        </w:rPr>
        <w:t xml:space="preserve"> </w:t>
      </w:r>
      <w:r w:rsidR="00EC0DDD">
        <w:rPr>
          <w:sz w:val="22"/>
          <w:szCs w:val="22"/>
        </w:rPr>
        <w:t>the calibration models developed by using R+VIP were more accurate and robust than the models developed by using the conventional indexes. I</w:t>
      </w:r>
      <w:r w:rsidR="00CD68E1">
        <w:rPr>
          <w:sz w:val="22"/>
          <w:szCs w:val="22"/>
        </w:rPr>
        <w:t>n</w:t>
      </w:r>
      <w:r w:rsidR="00EC0DDD">
        <w:rPr>
          <w:sz w:val="22"/>
          <w:szCs w:val="22"/>
        </w:rPr>
        <w:t xml:space="preserve"> addition, </w:t>
      </w:r>
      <w:r w:rsidR="0072138A" w:rsidRPr="0072138A">
        <w:rPr>
          <w:sz w:val="22"/>
          <w:szCs w:val="22"/>
        </w:rPr>
        <w:t xml:space="preserve">SFD improved estimation accuracy with less computational load compared with the </w:t>
      </w:r>
      <w:r w:rsidR="000026A7">
        <w:rPr>
          <w:sz w:val="22"/>
          <w:szCs w:val="22"/>
        </w:rPr>
        <w:t>conventional</w:t>
      </w:r>
      <w:r w:rsidR="0072138A" w:rsidRPr="0072138A">
        <w:rPr>
          <w:sz w:val="22"/>
          <w:szCs w:val="22"/>
        </w:rPr>
        <w:t xml:space="preserve"> methods. </w:t>
      </w:r>
      <w:r w:rsidR="00C9405B">
        <w:rPr>
          <w:sz w:val="22"/>
          <w:szCs w:val="22"/>
        </w:rPr>
        <w:t>F</w:t>
      </w:r>
      <w:r w:rsidR="00074A65">
        <w:rPr>
          <w:sz w:val="22"/>
          <w:szCs w:val="22"/>
        </w:rPr>
        <w:t>urthermore</w:t>
      </w:r>
      <w:r w:rsidR="0072138A" w:rsidRPr="0072138A">
        <w:rPr>
          <w:sz w:val="22"/>
          <w:szCs w:val="22"/>
        </w:rPr>
        <w:t xml:space="preserve">, MASFD, which combines SFD and </w:t>
      </w:r>
      <w:r w:rsidR="00074A65">
        <w:rPr>
          <w:sz w:val="22"/>
          <w:szCs w:val="22"/>
        </w:rPr>
        <w:t xml:space="preserve">the </w:t>
      </w:r>
      <w:r w:rsidR="0072138A" w:rsidRPr="0072138A">
        <w:rPr>
          <w:sz w:val="22"/>
          <w:szCs w:val="22"/>
        </w:rPr>
        <w:t xml:space="preserve">moving average method, reduced the number of spectral intervals without deteriorating the estimation accuracy. </w:t>
      </w:r>
      <w:r w:rsidR="001C04F7">
        <w:rPr>
          <w:sz w:val="22"/>
          <w:szCs w:val="22"/>
        </w:rPr>
        <w:t>Hence</w:t>
      </w:r>
      <w:r w:rsidR="0072138A" w:rsidRPr="0072138A">
        <w:rPr>
          <w:sz w:val="22"/>
          <w:szCs w:val="22"/>
        </w:rPr>
        <w:t xml:space="preserve">, the proposed methods are superior to the </w:t>
      </w:r>
      <w:r w:rsidR="00BD2A54">
        <w:rPr>
          <w:sz w:val="22"/>
          <w:szCs w:val="22"/>
        </w:rPr>
        <w:t>conventional</w:t>
      </w:r>
      <w:r w:rsidR="0072138A" w:rsidRPr="0072138A">
        <w:rPr>
          <w:sz w:val="22"/>
          <w:szCs w:val="22"/>
        </w:rPr>
        <w:t xml:space="preserve"> methods, and will be </w:t>
      </w:r>
      <w:r w:rsidR="003D554C">
        <w:rPr>
          <w:sz w:val="22"/>
          <w:szCs w:val="22"/>
        </w:rPr>
        <w:t xml:space="preserve">widely </w:t>
      </w:r>
      <w:r w:rsidR="0072138A" w:rsidRPr="0072138A">
        <w:rPr>
          <w:sz w:val="22"/>
          <w:szCs w:val="22"/>
        </w:rPr>
        <w:t>applicable</w:t>
      </w:r>
      <w:r w:rsidR="003D554C">
        <w:rPr>
          <w:sz w:val="22"/>
          <w:szCs w:val="22"/>
        </w:rPr>
        <w:t xml:space="preserve"> to calibration modeling in PAT</w:t>
      </w:r>
      <w:r w:rsidR="0072138A" w:rsidRPr="0072138A">
        <w:rPr>
          <w:sz w:val="22"/>
          <w:szCs w:val="22"/>
        </w:rPr>
        <w:t>.</w:t>
      </w:r>
    </w:p>
    <w:p w14:paraId="2E223C04" w14:textId="77777777" w:rsidR="0072138A" w:rsidRPr="00DB284D" w:rsidRDefault="0072138A">
      <w:pPr>
        <w:rPr>
          <w:sz w:val="22"/>
          <w:szCs w:val="22"/>
        </w:rPr>
      </w:pPr>
    </w:p>
    <w:sectPr w:rsidR="0072138A" w:rsidRPr="00DB284D" w:rsidSect="005C257B">
      <w:pgSz w:w="11900" w:h="16840"/>
      <w:pgMar w:top="1440" w:right="1080" w:bottom="1440" w:left="1080"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F5C29" w14:textId="77777777" w:rsidR="00D00A94" w:rsidRDefault="00D00A94" w:rsidP="00D00A94">
      <w:r>
        <w:separator/>
      </w:r>
    </w:p>
  </w:endnote>
  <w:endnote w:type="continuationSeparator" w:id="0">
    <w:p w14:paraId="547A0DA9" w14:textId="77777777" w:rsidR="00D00A94" w:rsidRDefault="00D00A94" w:rsidP="00D0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MS UI Gothic">
    <w:altName w:val="ＭＳ ゴシック"/>
    <w:charset w:val="80"/>
    <w:family w:val="modern"/>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79233" w14:textId="77777777" w:rsidR="00D00A94" w:rsidRDefault="00D00A94" w:rsidP="00D00A94">
      <w:r>
        <w:separator/>
      </w:r>
    </w:p>
  </w:footnote>
  <w:footnote w:type="continuationSeparator" w:id="0">
    <w:p w14:paraId="49D67883" w14:textId="77777777" w:rsidR="00D00A94" w:rsidRDefault="00D00A94" w:rsidP="00D00A9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A3EA7"/>
    <w:multiLevelType w:val="hybridMultilevel"/>
    <w:tmpl w:val="D9B48D40"/>
    <w:lvl w:ilvl="0" w:tplc="CE02B8E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savePreviewPicture/>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57B"/>
    <w:rsid w:val="000026A7"/>
    <w:rsid w:val="00006442"/>
    <w:rsid w:val="00006A29"/>
    <w:rsid w:val="00023F93"/>
    <w:rsid w:val="0005553E"/>
    <w:rsid w:val="000660DA"/>
    <w:rsid w:val="00074A65"/>
    <w:rsid w:val="000926FB"/>
    <w:rsid w:val="000E039B"/>
    <w:rsid w:val="001106FB"/>
    <w:rsid w:val="001136B8"/>
    <w:rsid w:val="00141C61"/>
    <w:rsid w:val="00155A7C"/>
    <w:rsid w:val="001A2AFC"/>
    <w:rsid w:val="001B30B7"/>
    <w:rsid w:val="001C04F7"/>
    <w:rsid w:val="001C4324"/>
    <w:rsid w:val="001E29D2"/>
    <w:rsid w:val="0020633C"/>
    <w:rsid w:val="00251234"/>
    <w:rsid w:val="00251E10"/>
    <w:rsid w:val="00255334"/>
    <w:rsid w:val="00261C02"/>
    <w:rsid w:val="002E314F"/>
    <w:rsid w:val="002F4379"/>
    <w:rsid w:val="003D554C"/>
    <w:rsid w:val="0041242E"/>
    <w:rsid w:val="00413018"/>
    <w:rsid w:val="004150AB"/>
    <w:rsid w:val="00473360"/>
    <w:rsid w:val="00483E20"/>
    <w:rsid w:val="00491A49"/>
    <w:rsid w:val="004B2AE3"/>
    <w:rsid w:val="004C1270"/>
    <w:rsid w:val="00503974"/>
    <w:rsid w:val="005A6EC2"/>
    <w:rsid w:val="005C097E"/>
    <w:rsid w:val="005C257B"/>
    <w:rsid w:val="005F73F5"/>
    <w:rsid w:val="00614B88"/>
    <w:rsid w:val="0067095A"/>
    <w:rsid w:val="00682D92"/>
    <w:rsid w:val="006A6E9A"/>
    <w:rsid w:val="006B72A7"/>
    <w:rsid w:val="006B734B"/>
    <w:rsid w:val="006B77FD"/>
    <w:rsid w:val="006D5C53"/>
    <w:rsid w:val="006D680F"/>
    <w:rsid w:val="006D774E"/>
    <w:rsid w:val="00710F87"/>
    <w:rsid w:val="0072138A"/>
    <w:rsid w:val="007550AB"/>
    <w:rsid w:val="00763178"/>
    <w:rsid w:val="00774326"/>
    <w:rsid w:val="007A2C09"/>
    <w:rsid w:val="007B7E7E"/>
    <w:rsid w:val="007C1999"/>
    <w:rsid w:val="007C7BD8"/>
    <w:rsid w:val="00851E65"/>
    <w:rsid w:val="00867565"/>
    <w:rsid w:val="008A07A7"/>
    <w:rsid w:val="009020C5"/>
    <w:rsid w:val="0093022E"/>
    <w:rsid w:val="0094662F"/>
    <w:rsid w:val="00996410"/>
    <w:rsid w:val="009C55C9"/>
    <w:rsid w:val="009D5F01"/>
    <w:rsid w:val="00A35DCC"/>
    <w:rsid w:val="00A53A36"/>
    <w:rsid w:val="00A7428F"/>
    <w:rsid w:val="00B513F5"/>
    <w:rsid w:val="00B97E1B"/>
    <w:rsid w:val="00BD2A54"/>
    <w:rsid w:val="00C14381"/>
    <w:rsid w:val="00C46210"/>
    <w:rsid w:val="00C4682E"/>
    <w:rsid w:val="00C65326"/>
    <w:rsid w:val="00C656B3"/>
    <w:rsid w:val="00C67928"/>
    <w:rsid w:val="00C9405B"/>
    <w:rsid w:val="00CB606C"/>
    <w:rsid w:val="00CC154A"/>
    <w:rsid w:val="00CC3EE3"/>
    <w:rsid w:val="00CD68E1"/>
    <w:rsid w:val="00D00A94"/>
    <w:rsid w:val="00D11650"/>
    <w:rsid w:val="00DB284D"/>
    <w:rsid w:val="00DE52E2"/>
    <w:rsid w:val="00DF4637"/>
    <w:rsid w:val="00E01B0D"/>
    <w:rsid w:val="00E05DEE"/>
    <w:rsid w:val="00E109FC"/>
    <w:rsid w:val="00E27676"/>
    <w:rsid w:val="00E35FC5"/>
    <w:rsid w:val="00E43DA2"/>
    <w:rsid w:val="00EA5156"/>
    <w:rsid w:val="00EC0DDD"/>
    <w:rsid w:val="00ED786A"/>
    <w:rsid w:val="00EE4C74"/>
    <w:rsid w:val="00F133FA"/>
    <w:rsid w:val="00F65700"/>
    <w:rsid w:val="00FA4519"/>
    <w:rsid w:val="00FD2D66"/>
    <w:rsid w:val="00FD6A76"/>
    <w:rsid w:val="00FE0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v:textbox inset="5.85pt,.7pt,5.85pt,.7pt"/>
    </o:shapedefaults>
    <o:shapelayout v:ext="edit">
      <o:idmap v:ext="edit" data="2"/>
    </o:shapelayout>
  </w:shapeDefaults>
  <w:decimalSymbol w:val="."/>
  <w:listSeparator w:val=","/>
  <w14:docId w14:val="27D812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9FC"/>
    <w:pPr>
      <w:ind w:leftChars="400" w:left="960"/>
    </w:pPr>
  </w:style>
  <w:style w:type="paragraph" w:styleId="a4">
    <w:name w:val="header"/>
    <w:basedOn w:val="a"/>
    <w:link w:val="a5"/>
    <w:uiPriority w:val="99"/>
    <w:unhideWhenUsed/>
    <w:rsid w:val="00D00A94"/>
    <w:pPr>
      <w:tabs>
        <w:tab w:val="center" w:pos="4419"/>
        <w:tab w:val="right" w:pos="8838"/>
      </w:tabs>
    </w:pPr>
  </w:style>
  <w:style w:type="character" w:customStyle="1" w:styleId="a5">
    <w:name w:val="ヘッダー (文字)"/>
    <w:basedOn w:val="a0"/>
    <w:link w:val="a4"/>
    <w:uiPriority w:val="99"/>
    <w:rsid w:val="00D00A94"/>
  </w:style>
  <w:style w:type="paragraph" w:styleId="a6">
    <w:name w:val="footer"/>
    <w:basedOn w:val="a"/>
    <w:link w:val="a7"/>
    <w:uiPriority w:val="99"/>
    <w:unhideWhenUsed/>
    <w:rsid w:val="00D00A94"/>
    <w:pPr>
      <w:tabs>
        <w:tab w:val="center" w:pos="4419"/>
        <w:tab w:val="right" w:pos="8838"/>
      </w:tabs>
    </w:pPr>
  </w:style>
  <w:style w:type="character" w:customStyle="1" w:styleId="a7">
    <w:name w:val="フッター (文字)"/>
    <w:basedOn w:val="a0"/>
    <w:link w:val="a6"/>
    <w:uiPriority w:val="99"/>
    <w:rsid w:val="00D00A94"/>
  </w:style>
  <w:style w:type="character" w:styleId="a8">
    <w:name w:val="annotation reference"/>
    <w:basedOn w:val="a0"/>
    <w:uiPriority w:val="99"/>
    <w:semiHidden/>
    <w:unhideWhenUsed/>
    <w:rsid w:val="00D00A94"/>
    <w:rPr>
      <w:sz w:val="16"/>
      <w:szCs w:val="16"/>
    </w:rPr>
  </w:style>
  <w:style w:type="paragraph" w:styleId="a9">
    <w:name w:val="annotation text"/>
    <w:basedOn w:val="a"/>
    <w:link w:val="aa"/>
    <w:uiPriority w:val="99"/>
    <w:semiHidden/>
    <w:unhideWhenUsed/>
    <w:rsid w:val="00D00A94"/>
    <w:rPr>
      <w:sz w:val="20"/>
      <w:szCs w:val="20"/>
    </w:rPr>
  </w:style>
  <w:style w:type="character" w:customStyle="1" w:styleId="aa">
    <w:name w:val="コメント文字列 (文字)"/>
    <w:basedOn w:val="a0"/>
    <w:link w:val="a9"/>
    <w:uiPriority w:val="99"/>
    <w:semiHidden/>
    <w:rsid w:val="00D00A94"/>
    <w:rPr>
      <w:sz w:val="20"/>
      <w:szCs w:val="20"/>
    </w:rPr>
  </w:style>
  <w:style w:type="paragraph" w:styleId="ab">
    <w:name w:val="annotation subject"/>
    <w:basedOn w:val="a9"/>
    <w:next w:val="a9"/>
    <w:link w:val="ac"/>
    <w:uiPriority w:val="99"/>
    <w:semiHidden/>
    <w:unhideWhenUsed/>
    <w:rsid w:val="00D00A94"/>
    <w:rPr>
      <w:b/>
      <w:bCs/>
    </w:rPr>
  </w:style>
  <w:style w:type="character" w:customStyle="1" w:styleId="ac">
    <w:name w:val="コメント内容 (文字)"/>
    <w:basedOn w:val="aa"/>
    <w:link w:val="ab"/>
    <w:uiPriority w:val="99"/>
    <w:semiHidden/>
    <w:rsid w:val="00D00A94"/>
    <w:rPr>
      <w:b/>
      <w:bCs/>
      <w:sz w:val="20"/>
      <w:szCs w:val="20"/>
    </w:rPr>
  </w:style>
  <w:style w:type="paragraph" w:styleId="ad">
    <w:name w:val="Balloon Text"/>
    <w:basedOn w:val="a"/>
    <w:link w:val="ae"/>
    <w:uiPriority w:val="99"/>
    <w:semiHidden/>
    <w:unhideWhenUsed/>
    <w:rsid w:val="00D00A94"/>
    <w:rPr>
      <w:rFonts w:ascii="MS UI Gothic" w:eastAsia="MS UI Gothic"/>
      <w:sz w:val="18"/>
      <w:szCs w:val="18"/>
    </w:rPr>
  </w:style>
  <w:style w:type="character" w:customStyle="1" w:styleId="ae">
    <w:name w:val="吹き出し (文字)"/>
    <w:basedOn w:val="a0"/>
    <w:link w:val="ad"/>
    <w:uiPriority w:val="99"/>
    <w:semiHidden/>
    <w:rsid w:val="00D00A94"/>
    <w:rPr>
      <w:rFonts w:ascii="MS UI Gothic" w:eastAsia="MS UI Gothic"/>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9FC"/>
    <w:pPr>
      <w:ind w:leftChars="400" w:left="960"/>
    </w:pPr>
  </w:style>
  <w:style w:type="paragraph" w:styleId="a4">
    <w:name w:val="header"/>
    <w:basedOn w:val="a"/>
    <w:link w:val="a5"/>
    <w:uiPriority w:val="99"/>
    <w:unhideWhenUsed/>
    <w:rsid w:val="00D00A94"/>
    <w:pPr>
      <w:tabs>
        <w:tab w:val="center" w:pos="4419"/>
        <w:tab w:val="right" w:pos="8838"/>
      </w:tabs>
    </w:pPr>
  </w:style>
  <w:style w:type="character" w:customStyle="1" w:styleId="a5">
    <w:name w:val="ヘッダー (文字)"/>
    <w:basedOn w:val="a0"/>
    <w:link w:val="a4"/>
    <w:uiPriority w:val="99"/>
    <w:rsid w:val="00D00A94"/>
  </w:style>
  <w:style w:type="paragraph" w:styleId="a6">
    <w:name w:val="footer"/>
    <w:basedOn w:val="a"/>
    <w:link w:val="a7"/>
    <w:uiPriority w:val="99"/>
    <w:unhideWhenUsed/>
    <w:rsid w:val="00D00A94"/>
    <w:pPr>
      <w:tabs>
        <w:tab w:val="center" w:pos="4419"/>
        <w:tab w:val="right" w:pos="8838"/>
      </w:tabs>
    </w:pPr>
  </w:style>
  <w:style w:type="character" w:customStyle="1" w:styleId="a7">
    <w:name w:val="フッター (文字)"/>
    <w:basedOn w:val="a0"/>
    <w:link w:val="a6"/>
    <w:uiPriority w:val="99"/>
    <w:rsid w:val="00D00A94"/>
  </w:style>
  <w:style w:type="character" w:styleId="a8">
    <w:name w:val="annotation reference"/>
    <w:basedOn w:val="a0"/>
    <w:uiPriority w:val="99"/>
    <w:semiHidden/>
    <w:unhideWhenUsed/>
    <w:rsid w:val="00D00A94"/>
    <w:rPr>
      <w:sz w:val="16"/>
      <w:szCs w:val="16"/>
    </w:rPr>
  </w:style>
  <w:style w:type="paragraph" w:styleId="a9">
    <w:name w:val="annotation text"/>
    <w:basedOn w:val="a"/>
    <w:link w:val="aa"/>
    <w:uiPriority w:val="99"/>
    <w:semiHidden/>
    <w:unhideWhenUsed/>
    <w:rsid w:val="00D00A94"/>
    <w:rPr>
      <w:sz w:val="20"/>
      <w:szCs w:val="20"/>
    </w:rPr>
  </w:style>
  <w:style w:type="character" w:customStyle="1" w:styleId="aa">
    <w:name w:val="コメント文字列 (文字)"/>
    <w:basedOn w:val="a0"/>
    <w:link w:val="a9"/>
    <w:uiPriority w:val="99"/>
    <w:semiHidden/>
    <w:rsid w:val="00D00A94"/>
    <w:rPr>
      <w:sz w:val="20"/>
      <w:szCs w:val="20"/>
    </w:rPr>
  </w:style>
  <w:style w:type="paragraph" w:styleId="ab">
    <w:name w:val="annotation subject"/>
    <w:basedOn w:val="a9"/>
    <w:next w:val="a9"/>
    <w:link w:val="ac"/>
    <w:uiPriority w:val="99"/>
    <w:semiHidden/>
    <w:unhideWhenUsed/>
    <w:rsid w:val="00D00A94"/>
    <w:rPr>
      <w:b/>
      <w:bCs/>
    </w:rPr>
  </w:style>
  <w:style w:type="character" w:customStyle="1" w:styleId="ac">
    <w:name w:val="コメント内容 (文字)"/>
    <w:basedOn w:val="aa"/>
    <w:link w:val="ab"/>
    <w:uiPriority w:val="99"/>
    <w:semiHidden/>
    <w:rsid w:val="00D00A94"/>
    <w:rPr>
      <w:b/>
      <w:bCs/>
      <w:sz w:val="20"/>
      <w:szCs w:val="20"/>
    </w:rPr>
  </w:style>
  <w:style w:type="paragraph" w:styleId="ad">
    <w:name w:val="Balloon Text"/>
    <w:basedOn w:val="a"/>
    <w:link w:val="ae"/>
    <w:uiPriority w:val="99"/>
    <w:semiHidden/>
    <w:unhideWhenUsed/>
    <w:rsid w:val="00D00A94"/>
    <w:rPr>
      <w:rFonts w:ascii="MS UI Gothic" w:eastAsia="MS UI Gothic"/>
      <w:sz w:val="18"/>
      <w:szCs w:val="18"/>
    </w:rPr>
  </w:style>
  <w:style w:type="character" w:customStyle="1" w:styleId="ae">
    <w:name w:val="吹き出し (文字)"/>
    <w:basedOn w:val="a0"/>
    <w:link w:val="ad"/>
    <w:uiPriority w:val="99"/>
    <w:semiHidden/>
    <w:rsid w:val="00D00A94"/>
    <w:rPr>
      <w:rFonts w:ascii="MS UI Gothic" w:eastAsia="MS UI Gothi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643</Words>
  <Characters>3668</Characters>
  <Application>Microsoft Macintosh Word</Application>
  <DocSecurity>0</DocSecurity>
  <Lines>30</Lines>
  <Paragraphs>8</Paragraphs>
  <ScaleCrop>false</ScaleCrop>
  <Company>DAIICHI SANKYO CO., LTD.</Company>
  <LinksUpToDate>false</LinksUpToDate>
  <CharactersWithSpaces>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Kano</dc:creator>
  <cp:lastModifiedBy>Kano</cp:lastModifiedBy>
  <cp:revision>9</cp:revision>
  <dcterms:created xsi:type="dcterms:W3CDTF">2014-04-11T11:09:00Z</dcterms:created>
  <dcterms:modified xsi:type="dcterms:W3CDTF">2014-04-23T15:19:00Z</dcterms:modified>
</cp:coreProperties>
</file>