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FBD" w:rsidRPr="00345FBD" w:rsidRDefault="00345FBD" w:rsidP="00FD64A7">
      <w:pPr>
        <w:pStyle w:val="NoSpacing"/>
        <w:jc w:val="center"/>
        <w:rPr>
          <w:rFonts w:ascii="Times New Roman" w:hAnsi="Times New Roman" w:cs="Times New Roman"/>
          <w:sz w:val="28"/>
          <w:szCs w:val="24"/>
        </w:rPr>
      </w:pPr>
      <w:r w:rsidRPr="00345FBD">
        <w:rPr>
          <w:rFonts w:ascii="Times New Roman" w:hAnsi="Times New Roman" w:cs="Times New Roman"/>
          <w:b/>
          <w:sz w:val="24"/>
        </w:rPr>
        <w:t>Nanostructured LiMnPO</w:t>
      </w:r>
      <w:r w:rsidRPr="00345FBD">
        <w:rPr>
          <w:rFonts w:ascii="Times New Roman" w:hAnsi="Times New Roman" w:cs="Times New Roman"/>
          <w:b/>
          <w:sz w:val="24"/>
          <w:vertAlign w:val="subscript"/>
        </w:rPr>
        <w:t>4</w:t>
      </w:r>
      <w:r w:rsidRPr="00345FBD">
        <w:rPr>
          <w:rFonts w:ascii="Times New Roman" w:hAnsi="Times New Roman" w:cs="Times New Roman"/>
          <w:b/>
          <w:sz w:val="24"/>
        </w:rPr>
        <w:t xml:space="preserve"> Matrix as</w:t>
      </w:r>
      <w:r w:rsidRPr="00345FBD">
        <w:rPr>
          <w:rFonts w:ascii="Times New Roman" w:hAnsi="Times New Roman" w:cs="Times New Roman"/>
          <w:b/>
          <w:sz w:val="24"/>
        </w:rPr>
        <w:t xml:space="preserve"> Flexible</w:t>
      </w:r>
      <w:r w:rsidRPr="00345FBD">
        <w:rPr>
          <w:rFonts w:ascii="Times New Roman" w:hAnsi="Times New Roman" w:cs="Times New Roman"/>
          <w:b/>
          <w:sz w:val="24"/>
        </w:rPr>
        <w:t xml:space="preserve"> High-rate Cathode Materials </w:t>
      </w:r>
    </w:p>
    <w:p w:rsidR="00FD64A7" w:rsidRPr="00345FBD" w:rsidRDefault="00FD64A7" w:rsidP="00FD64A7">
      <w:pPr>
        <w:pStyle w:val="NoSpacing"/>
        <w:jc w:val="center"/>
        <w:rPr>
          <w:rFonts w:ascii="Times New Roman" w:hAnsi="Times New Roman" w:cs="Times New Roman"/>
          <w:sz w:val="24"/>
          <w:szCs w:val="24"/>
        </w:rPr>
      </w:pPr>
      <w:r w:rsidRPr="00345FBD">
        <w:rPr>
          <w:rFonts w:ascii="Times New Roman" w:hAnsi="Times New Roman" w:cs="Times New Roman"/>
          <w:sz w:val="24"/>
          <w:szCs w:val="24"/>
        </w:rPr>
        <w:t>Feng Jiao</w:t>
      </w:r>
    </w:p>
    <w:p w:rsidR="00FD64A7" w:rsidRPr="00345FBD" w:rsidRDefault="00FD64A7" w:rsidP="00FD64A7">
      <w:pPr>
        <w:pStyle w:val="NoSpacing"/>
        <w:jc w:val="center"/>
        <w:rPr>
          <w:rFonts w:ascii="Times New Roman" w:hAnsi="Times New Roman" w:cs="Times New Roman"/>
          <w:i/>
          <w:sz w:val="24"/>
          <w:szCs w:val="24"/>
        </w:rPr>
      </w:pPr>
      <w:r w:rsidRPr="00345FBD">
        <w:rPr>
          <w:rFonts w:ascii="Times New Roman" w:hAnsi="Times New Roman" w:cs="Times New Roman"/>
          <w:i/>
          <w:sz w:val="24"/>
          <w:szCs w:val="24"/>
        </w:rPr>
        <w:t xml:space="preserve">Center for Catalytic Science &amp; Technology, Department of Chemical Engineering, University of Delaware, Newark, DE, 19716 USA. Fax: +1-302-831-1048; Tel: +1-302-831-3679; E-mail: </w:t>
      </w:r>
      <w:hyperlink r:id="rId4" w:history="1">
        <w:r w:rsidRPr="00345FBD">
          <w:rPr>
            <w:rStyle w:val="Hyperlink"/>
            <w:rFonts w:ascii="Times New Roman" w:hAnsi="Times New Roman" w:cs="Times New Roman"/>
            <w:i/>
            <w:sz w:val="24"/>
            <w:szCs w:val="24"/>
          </w:rPr>
          <w:t>jiao@udel.edu</w:t>
        </w:r>
      </w:hyperlink>
    </w:p>
    <w:p w:rsidR="00FD64A7" w:rsidRPr="00345FBD" w:rsidRDefault="00FD64A7" w:rsidP="00FD64A7">
      <w:pPr>
        <w:pStyle w:val="NoSpacing"/>
        <w:jc w:val="center"/>
        <w:rPr>
          <w:rFonts w:ascii="Times New Roman" w:hAnsi="Times New Roman" w:cs="Times New Roman"/>
          <w:i/>
          <w:sz w:val="24"/>
          <w:szCs w:val="24"/>
        </w:rPr>
      </w:pPr>
    </w:p>
    <w:p w:rsidR="00345FBD" w:rsidRDefault="00345FBD" w:rsidP="00345FBD">
      <w:pPr>
        <w:pStyle w:val="BDAbstract"/>
        <w:spacing w:before="0" w:after="0" w:line="240" w:lineRule="auto"/>
      </w:pPr>
      <w:r w:rsidRPr="00262926">
        <w:t>Electronic systems that can cover large areas on flexible substrates have received increasing attention in the past few years</w:t>
      </w:r>
      <w:r>
        <w:t xml:space="preserve">, </w:t>
      </w:r>
      <w:r w:rsidRPr="00262926">
        <w:t>because they enable classes of applications that lie outside those easily</w:t>
      </w:r>
      <w:r>
        <w:t>-</w:t>
      </w:r>
      <w:r w:rsidRPr="00262926">
        <w:t>addressed with wafer-based electronics</w:t>
      </w:r>
      <w:r w:rsidRPr="00995935">
        <w:rPr>
          <w:noProof/>
          <w:vertAlign w:val="superscript"/>
        </w:rPr>
        <w:t>1-3</w:t>
      </w:r>
      <w:r w:rsidRPr="00262926">
        <w:t xml:space="preserve">. As the critical component for flexible electronics, a flexible energy storage </w:t>
      </w:r>
      <w:r>
        <w:t>device</w:t>
      </w:r>
      <w:r w:rsidRPr="00262926">
        <w:t xml:space="preserve"> is crucial because all the functionalities onboard rely on </w:t>
      </w:r>
      <w:r>
        <w:t xml:space="preserve">the </w:t>
      </w:r>
      <w:r w:rsidRPr="00262926">
        <w:t xml:space="preserve">power supply. </w:t>
      </w:r>
      <w:r>
        <w:t>T</w:t>
      </w:r>
      <w:r w:rsidRPr="00262926">
        <w:t xml:space="preserve">he performance of </w:t>
      </w:r>
      <w:r>
        <w:t xml:space="preserve">the </w:t>
      </w:r>
      <w:r w:rsidRPr="00262926">
        <w:t xml:space="preserve">current generation is greatly limited by the </w:t>
      </w:r>
      <w:r>
        <w:t xml:space="preserve">electrode </w:t>
      </w:r>
      <w:r w:rsidRPr="00262926">
        <w:t>material</w:t>
      </w:r>
      <w:r>
        <w:t>s, and m</w:t>
      </w:r>
      <w:r w:rsidRPr="00262926">
        <w:t>any efforts have been devoted to development of high performance flexible batteries</w:t>
      </w:r>
      <w:r w:rsidRPr="00995935">
        <w:rPr>
          <w:noProof/>
          <w:vertAlign w:val="superscript"/>
        </w:rPr>
        <w:t>4-7</w:t>
      </w:r>
      <w:hyperlink w:anchor="_ENREF_1" w:tooltip="Hu, 2010 #31" w:history="1"/>
      <w:r w:rsidRPr="00262926">
        <w:t>.</w:t>
      </w:r>
      <w:r>
        <w:t xml:space="preserve"> Recently</w:t>
      </w:r>
      <w:r w:rsidRPr="002F0CF8">
        <w:t>, compliant materials on curvilinear surfaces, such as carbon nanotubes</w:t>
      </w:r>
      <w:r w:rsidRPr="00995935">
        <w:rPr>
          <w:noProof/>
          <w:vertAlign w:val="superscript"/>
        </w:rPr>
        <w:t>8</w:t>
      </w:r>
      <w:r w:rsidRPr="002F0CF8">
        <w:t>, carbon nanofibers</w:t>
      </w:r>
      <w:r w:rsidRPr="00995935">
        <w:rPr>
          <w:noProof/>
          <w:vertAlign w:val="superscript"/>
        </w:rPr>
        <w:t>9</w:t>
      </w:r>
      <w:r w:rsidRPr="002F0CF8">
        <w:t>, graphen</w:t>
      </w:r>
      <w:r>
        <w:t>e</w:t>
      </w:r>
      <w:r w:rsidRPr="00995935">
        <w:rPr>
          <w:noProof/>
          <w:vertAlign w:val="superscript"/>
        </w:rPr>
        <w:t>10</w:t>
      </w:r>
      <w:r>
        <w:t>, metal oxide-based nanowires</w:t>
      </w:r>
      <w:r w:rsidRPr="00995935">
        <w:rPr>
          <w:noProof/>
          <w:vertAlign w:val="superscript"/>
        </w:rPr>
        <w:t>11</w:t>
      </w:r>
      <w:r>
        <w:t xml:space="preserve">, </w:t>
      </w:r>
      <w:r w:rsidRPr="002F0CF8">
        <w:t>and slurry-type mixtures of na</w:t>
      </w:r>
      <w:r>
        <w:t>nostructured active materials</w:t>
      </w:r>
      <w:r w:rsidRPr="00995935">
        <w:rPr>
          <w:noProof/>
          <w:vertAlign w:val="superscript"/>
        </w:rPr>
        <w:t>12</w:t>
      </w:r>
      <w:r>
        <w:t xml:space="preserve">, </w:t>
      </w:r>
      <w:r w:rsidRPr="002F0CF8">
        <w:t xml:space="preserve">have been explored as flexible </w:t>
      </w:r>
      <w:r>
        <w:t>battery</w:t>
      </w:r>
      <w:r w:rsidRPr="002F0CF8">
        <w:t xml:space="preserve"> electrodes</w:t>
      </w:r>
      <w:r>
        <w:t xml:space="preserve">. However, these studies have mainly focused on anode electrode materials, and there has been very limited progress on cathode materials for flexible batteries. </w:t>
      </w:r>
      <w:r w:rsidRPr="005B3EE5">
        <w:t xml:space="preserve">It is critical to explore cathode electrode materials with </w:t>
      </w:r>
      <w:r>
        <w:t xml:space="preserve">the </w:t>
      </w:r>
      <w:r w:rsidRPr="005B3EE5">
        <w:t xml:space="preserve">potential </w:t>
      </w:r>
      <w:r>
        <w:t>to</w:t>
      </w:r>
      <w:r w:rsidRPr="005B3EE5">
        <w:t xml:space="preserve"> coupl</w:t>
      </w:r>
      <w:r>
        <w:t>e with</w:t>
      </w:r>
      <w:r w:rsidRPr="005B3EE5">
        <w:t xml:space="preserve"> </w:t>
      </w:r>
      <w:r>
        <w:t xml:space="preserve">the developed </w:t>
      </w:r>
      <w:r w:rsidRPr="005B3EE5">
        <w:t>flexible anodes for device application</w:t>
      </w:r>
      <w:r>
        <w:t>s</w:t>
      </w:r>
      <w:r w:rsidRPr="005B3EE5">
        <w:t>.</w:t>
      </w:r>
    </w:p>
    <w:p w:rsidR="00345FBD" w:rsidRDefault="00345FBD" w:rsidP="00345FBD">
      <w:pPr>
        <w:pStyle w:val="BDAbstract"/>
        <w:spacing w:before="0" w:after="0" w:line="240" w:lineRule="auto"/>
      </w:pPr>
    </w:p>
    <w:p w:rsidR="00345FBD" w:rsidRDefault="00345FBD" w:rsidP="00345FBD">
      <w:pPr>
        <w:pStyle w:val="BDAbstract"/>
        <w:spacing w:before="0" w:after="0" w:line="240" w:lineRule="auto"/>
      </w:pPr>
      <w:r>
        <w:t xml:space="preserve">One-dimensional (1D) electrode materials have attracted much attention recently because of their potential application in flexible battery technology. Many 1D anode materials based on carbon and metal oxides have been synthesized for flexible batteries, but only limited studies on the cathode side have been conducted. </w:t>
      </w:r>
      <w:r>
        <w:t>In this talk</w:t>
      </w:r>
      <w:r>
        <w:t xml:space="preserve">, we </w:t>
      </w:r>
      <w:r>
        <w:t>will present</w:t>
      </w:r>
      <w:bookmarkStart w:id="0" w:name="_GoBack"/>
      <w:bookmarkEnd w:id="0"/>
      <w:r>
        <w:t xml:space="preserve"> the synthesis of high-rate cathode electrodes based on Mg-modified LiMnPO</w:t>
      </w:r>
      <w:r w:rsidRPr="00C055C6">
        <w:rPr>
          <w:vertAlign w:val="subscript"/>
        </w:rPr>
        <w:t>4</w:t>
      </w:r>
      <w:r>
        <w:t xml:space="preserve"> nanofibers. The nanofibers are embedded inside a nanostructured conducting</w:t>
      </w:r>
      <w:r w:rsidRPr="008C392D">
        <w:t xml:space="preserve"> carbon matrix </w:t>
      </w:r>
      <w:r>
        <w:t xml:space="preserve">to enhance their electronic conductivity and structural integrity while retaining flexibility. As a result, a 50% increase in capacity is obtained, achieving an outstanding performance of 135 </w:t>
      </w:r>
      <w:proofErr w:type="spellStart"/>
      <w:r>
        <w:t>mAh</w:t>
      </w:r>
      <w:proofErr w:type="spellEnd"/>
      <w:r>
        <w:t xml:space="preserve"> g</w:t>
      </w:r>
      <w:r w:rsidRPr="005E5925">
        <w:rPr>
          <w:vertAlign w:val="superscript"/>
        </w:rPr>
        <w:t>-1</w:t>
      </w:r>
      <w:r>
        <w:t xml:space="preserve"> at a C/10 rate (15 mA g</w:t>
      </w:r>
      <w:r w:rsidRPr="005E5925">
        <w:rPr>
          <w:vertAlign w:val="superscript"/>
        </w:rPr>
        <w:t>-1</w:t>
      </w:r>
      <w:r>
        <w:t>). This nanostructured Mg-modified LiMnPO</w:t>
      </w:r>
      <w:r w:rsidRPr="00B163CB">
        <w:rPr>
          <w:vertAlign w:val="subscript"/>
        </w:rPr>
        <w:t>4</w:t>
      </w:r>
      <w:r>
        <w:t xml:space="preserve"> matrix also exhibited superior rate capability and much better cycleability compared to its LiMnPO</w:t>
      </w:r>
      <w:r w:rsidRPr="00B163CB">
        <w:rPr>
          <w:vertAlign w:val="subscript"/>
        </w:rPr>
        <w:t>4</w:t>
      </w:r>
      <w:r>
        <w:t xml:space="preserve"> counterpart. Even at a high charge/discharge rate of 5C (750 mA g</w:t>
      </w:r>
      <w:r w:rsidRPr="006429E5">
        <w:rPr>
          <w:vertAlign w:val="superscript"/>
        </w:rPr>
        <w:t>-1</w:t>
      </w:r>
      <w:r>
        <w:t xml:space="preserve">), 80% of the capacity (107 </w:t>
      </w:r>
      <w:proofErr w:type="spellStart"/>
      <w:r>
        <w:t>mAh</w:t>
      </w:r>
      <w:proofErr w:type="spellEnd"/>
      <w:r>
        <w:t xml:space="preserve"> g</w:t>
      </w:r>
      <w:r w:rsidRPr="006429E5">
        <w:rPr>
          <w:vertAlign w:val="superscript"/>
        </w:rPr>
        <w:t>-1</w:t>
      </w:r>
      <w:r>
        <w:t>) is still retained, representing, to the best of our knowledge, the best rate performance for LiMnPO</w:t>
      </w:r>
      <w:r w:rsidRPr="00B163CB">
        <w:rPr>
          <w:vertAlign w:val="subscript"/>
        </w:rPr>
        <w:t>4</w:t>
      </w:r>
      <w:r>
        <w:t xml:space="preserve">-based electrodes. More importantly, such a superior rate capability is achieved with an excellent cycleability (no capacity fading for 200 deep cycles). </w:t>
      </w:r>
    </w:p>
    <w:p w:rsidR="00A647C6" w:rsidRDefault="00A647C6" w:rsidP="00A647C6">
      <w:pPr>
        <w:jc w:val="both"/>
        <w:rPr>
          <w:sz w:val="22"/>
          <w:szCs w:val="22"/>
          <w:lang w:val="en-US"/>
        </w:rPr>
      </w:pPr>
    </w:p>
    <w:p w:rsidR="00345FBD" w:rsidRDefault="00345FBD" w:rsidP="00A647C6">
      <w:pPr>
        <w:jc w:val="both"/>
        <w:rPr>
          <w:sz w:val="22"/>
          <w:szCs w:val="22"/>
          <w:lang w:val="en-US"/>
        </w:rPr>
      </w:pPr>
    </w:p>
    <w:p w:rsidR="00A647C6" w:rsidRDefault="00345FBD" w:rsidP="00A647C6">
      <w:pPr>
        <w:jc w:val="both"/>
        <w:rPr>
          <w:sz w:val="22"/>
          <w:szCs w:val="22"/>
          <w:lang w:val="en-US"/>
        </w:rPr>
      </w:pPr>
      <w:r>
        <w:rPr>
          <w:sz w:val="22"/>
          <w:szCs w:val="22"/>
          <w:lang w:val="en-US"/>
        </w:rPr>
        <w:t>Reference</w:t>
      </w:r>
      <w:r w:rsidR="00A647C6">
        <w:rPr>
          <w:sz w:val="22"/>
          <w:szCs w:val="22"/>
          <w:lang w:val="en-US"/>
        </w:rPr>
        <w:t>:</w:t>
      </w:r>
    </w:p>
    <w:p w:rsidR="00A647C6" w:rsidRPr="00401E57" w:rsidRDefault="00A647C6" w:rsidP="00345FBD">
      <w:pPr>
        <w:pStyle w:val="NoSpacing"/>
        <w:ind w:left="360" w:hanging="360"/>
        <w:rPr>
          <w:rFonts w:ascii="Times New Roman" w:hAnsi="Times New Roman"/>
        </w:rPr>
      </w:pPr>
      <w:r>
        <w:rPr>
          <w:rFonts w:ascii="Times New Roman" w:hAnsi="Times New Roman"/>
        </w:rPr>
        <w:t>1.</w:t>
      </w:r>
      <w:r>
        <w:rPr>
          <w:rFonts w:ascii="Times New Roman" w:hAnsi="Times New Roman"/>
        </w:rPr>
        <w:tab/>
      </w:r>
      <w:r w:rsidR="00345FBD" w:rsidRPr="00345FBD">
        <w:rPr>
          <w:rFonts w:ascii="Times New Roman" w:hAnsi="Times New Roman"/>
        </w:rPr>
        <w:t>Lu, Q., Hutchings, G. S., Zhou, Y.,</w:t>
      </w:r>
      <w:r w:rsidR="00345FBD">
        <w:rPr>
          <w:rFonts w:ascii="Times New Roman" w:hAnsi="Times New Roman"/>
        </w:rPr>
        <w:t xml:space="preserve"> Xin, H., Zheng, H., &amp; Jiao, F.</w:t>
      </w:r>
      <w:r w:rsidR="00345FBD" w:rsidRPr="00345FBD">
        <w:t xml:space="preserve"> </w:t>
      </w:r>
      <w:r w:rsidR="00345FBD" w:rsidRPr="00345FBD">
        <w:rPr>
          <w:rFonts w:ascii="Times New Roman" w:hAnsi="Times New Roman"/>
        </w:rPr>
        <w:t>Nanostructured flexible Mg-modified LiMnPO</w:t>
      </w:r>
      <w:r w:rsidR="00345FBD" w:rsidRPr="00345FBD">
        <w:rPr>
          <w:rFonts w:ascii="Times New Roman" w:hAnsi="Times New Roman"/>
          <w:vertAlign w:val="subscript"/>
        </w:rPr>
        <w:t>4</w:t>
      </w:r>
      <w:r w:rsidR="00345FBD" w:rsidRPr="00345FBD">
        <w:rPr>
          <w:rFonts w:ascii="Times New Roman" w:hAnsi="Times New Roman"/>
        </w:rPr>
        <w:t xml:space="preserve"> matrix as high-rate cathode materials for Li-ion batteries</w:t>
      </w:r>
      <w:r w:rsidR="00345FBD">
        <w:rPr>
          <w:rFonts w:ascii="Times New Roman" w:hAnsi="Times New Roman"/>
        </w:rPr>
        <w:t xml:space="preserve">. </w:t>
      </w:r>
      <w:r w:rsidR="00345FBD" w:rsidRPr="00345FBD">
        <w:rPr>
          <w:rFonts w:ascii="Times New Roman" w:hAnsi="Times New Roman"/>
          <w:lang w:val="de-DE"/>
        </w:rPr>
        <w:t>J. Mater. Chem. A, 2014,</w:t>
      </w:r>
      <w:r w:rsidR="00345FBD">
        <w:rPr>
          <w:rFonts w:ascii="Times New Roman" w:hAnsi="Times New Roman"/>
          <w:lang w:val="de-DE"/>
        </w:rPr>
        <w:t xml:space="preserve"> </w:t>
      </w:r>
      <w:r w:rsidR="00345FBD" w:rsidRPr="00345FBD">
        <w:rPr>
          <w:rFonts w:ascii="Times New Roman" w:hAnsi="Times New Roman"/>
          <w:lang w:val="de-DE"/>
        </w:rPr>
        <w:t>2, 6368-6373</w:t>
      </w:r>
      <w:r w:rsidR="00345FBD">
        <w:rPr>
          <w:rFonts w:ascii="Times New Roman" w:hAnsi="Times New Roman"/>
          <w:lang w:val="de-DE"/>
        </w:rPr>
        <w:t>.</w:t>
      </w:r>
    </w:p>
    <w:p w:rsidR="00A647C6" w:rsidRDefault="00A647C6" w:rsidP="00A647C6">
      <w:pPr>
        <w:jc w:val="both"/>
        <w:rPr>
          <w:sz w:val="22"/>
          <w:szCs w:val="22"/>
          <w:lang w:val="en-US"/>
        </w:rPr>
      </w:pPr>
    </w:p>
    <w:p w:rsidR="00FD64A7" w:rsidRPr="00FD64A7" w:rsidRDefault="00FD64A7" w:rsidP="00FD64A7">
      <w:pPr>
        <w:ind w:firstLine="180"/>
        <w:jc w:val="both"/>
        <w:rPr>
          <w:sz w:val="22"/>
          <w:szCs w:val="22"/>
          <w:lang w:val="en-GB"/>
        </w:rPr>
      </w:pPr>
    </w:p>
    <w:p w:rsidR="00FD64A7" w:rsidRDefault="00FD64A7" w:rsidP="00FD64A7">
      <w:pPr>
        <w:jc w:val="center"/>
      </w:pPr>
    </w:p>
    <w:sectPr w:rsidR="00FD64A7" w:rsidSect="00BF2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4A7"/>
    <w:rsid w:val="00044B07"/>
    <w:rsid w:val="00091953"/>
    <w:rsid w:val="000A3BC8"/>
    <w:rsid w:val="00345FBD"/>
    <w:rsid w:val="004C409D"/>
    <w:rsid w:val="00533B6D"/>
    <w:rsid w:val="00674646"/>
    <w:rsid w:val="00871536"/>
    <w:rsid w:val="00886776"/>
    <w:rsid w:val="00A561CF"/>
    <w:rsid w:val="00A647C6"/>
    <w:rsid w:val="00B23407"/>
    <w:rsid w:val="00BF24A9"/>
    <w:rsid w:val="00BF6B49"/>
    <w:rsid w:val="00C00919"/>
    <w:rsid w:val="00C56EBC"/>
    <w:rsid w:val="00D86950"/>
    <w:rsid w:val="00D90BE9"/>
    <w:rsid w:val="00EE5B32"/>
    <w:rsid w:val="00F44589"/>
    <w:rsid w:val="00FD6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83A1362-4E0A-4FD6-AFE9-C55B39880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4A7"/>
    <w:pPr>
      <w:spacing w:after="0" w:line="240" w:lineRule="auto"/>
    </w:pPr>
    <w:rPr>
      <w:rFonts w:ascii="Times New Roman" w:eastAsia="MS Mincho" w:hAnsi="Times New Roman" w:cs="Times New Roman"/>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1AuthorAddresses">
    <w:name w:val="N1 Author Addresses"/>
    <w:qFormat/>
    <w:rsid w:val="00FD64A7"/>
    <w:pPr>
      <w:spacing w:after="0" w:line="190" w:lineRule="exact"/>
    </w:pPr>
    <w:rPr>
      <w:rFonts w:ascii="Times New Roman" w:eastAsia="Times New Roman" w:hAnsi="Times New Roman" w:cs="Times New Roman"/>
      <w:i/>
      <w:sz w:val="16"/>
      <w:szCs w:val="20"/>
      <w:lang w:val="en-GB" w:eastAsia="en-GB"/>
    </w:rPr>
  </w:style>
  <w:style w:type="paragraph" w:styleId="NoSpacing">
    <w:name w:val="No Spacing"/>
    <w:uiPriority w:val="1"/>
    <w:qFormat/>
    <w:rsid w:val="00FD64A7"/>
    <w:pPr>
      <w:spacing w:after="0" w:line="240" w:lineRule="auto"/>
    </w:pPr>
  </w:style>
  <w:style w:type="paragraph" w:customStyle="1" w:styleId="08ArticleText">
    <w:name w:val="08 Article Text"/>
    <w:qFormat/>
    <w:rsid w:val="00FD64A7"/>
    <w:pPr>
      <w:widowControl w:val="0"/>
      <w:tabs>
        <w:tab w:val="left" w:pos="198"/>
      </w:tabs>
      <w:spacing w:after="0" w:line="230" w:lineRule="exact"/>
      <w:jc w:val="both"/>
    </w:pPr>
    <w:rPr>
      <w:rFonts w:ascii="Times New Roman" w:eastAsia="Times New Roman" w:hAnsi="Times New Roman" w:cs="Times New Roman"/>
      <w:sz w:val="18"/>
      <w:szCs w:val="18"/>
      <w:lang w:val="en-GB" w:eastAsia="en-GB"/>
    </w:rPr>
  </w:style>
  <w:style w:type="character" w:styleId="Hyperlink">
    <w:name w:val="Hyperlink"/>
    <w:basedOn w:val="DefaultParagraphFont"/>
    <w:uiPriority w:val="99"/>
    <w:unhideWhenUsed/>
    <w:rsid w:val="00FD64A7"/>
    <w:rPr>
      <w:color w:val="0000FF" w:themeColor="hyperlink"/>
      <w:u w:val="single"/>
    </w:rPr>
  </w:style>
  <w:style w:type="paragraph" w:styleId="BalloonText">
    <w:name w:val="Balloon Text"/>
    <w:basedOn w:val="Normal"/>
    <w:link w:val="BalloonTextChar"/>
    <w:uiPriority w:val="99"/>
    <w:semiHidden/>
    <w:unhideWhenUsed/>
    <w:rsid w:val="00EE5B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5B32"/>
    <w:rPr>
      <w:rFonts w:ascii="Lucida Grande" w:eastAsia="MS Mincho" w:hAnsi="Lucida Grande" w:cs="Lucida Grande"/>
      <w:sz w:val="18"/>
      <w:szCs w:val="18"/>
      <w:lang w:val="de-DE" w:eastAsia="ja-JP"/>
    </w:rPr>
  </w:style>
  <w:style w:type="paragraph" w:customStyle="1" w:styleId="BDAbstract">
    <w:name w:val="BD_Abstract"/>
    <w:basedOn w:val="Normal"/>
    <w:next w:val="Normal"/>
    <w:rsid w:val="00345FBD"/>
    <w:pPr>
      <w:spacing w:before="360" w:after="360" w:line="480" w:lineRule="auto"/>
      <w:jc w:val="both"/>
    </w:pPr>
    <w:rPr>
      <w:rFonts w:ascii="Times" w:eastAsiaTheme="minorEastAsia" w:hAnsi="Times"/>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iao@ude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 Jiao</dc:creator>
  <cp:lastModifiedBy>Feng Jiao</cp:lastModifiedBy>
  <cp:revision>2</cp:revision>
  <dcterms:created xsi:type="dcterms:W3CDTF">2014-04-23T13:27:00Z</dcterms:created>
  <dcterms:modified xsi:type="dcterms:W3CDTF">2014-04-23T13:27:00Z</dcterms:modified>
</cp:coreProperties>
</file>