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1DB1" w:rsidRDefault="004C1DB1" w:rsidP="008661E5">
      <w:bookmarkStart w:id="0" w:name="_GoBack"/>
      <w:bookmarkEnd w:id="0"/>
      <w:r>
        <w:t xml:space="preserve">Despite the apparent success of the recombinant expression host </w:t>
      </w:r>
      <w:r>
        <w:rPr>
          <w:i/>
        </w:rPr>
        <w:t>Pichia pastoris</w:t>
      </w:r>
      <w:r>
        <w:t xml:space="preserve"> there are still underlying aspects that prevent this host from becoming the preferred platform for therapeutic protein production. High volumetric productivity obtained in some instances makes using this yeast very attractive, yet this appears to be protein specific. Limitations of the secretory pathway have been firmly established as an impediment to the high yield production; however it has been observed that clones from the same transformation, and therefore theoretically identical, can give significantly different titre. This phenomenon, known as clonal variation, </w:t>
      </w:r>
      <w:r w:rsidRPr="00EF0CDD">
        <w:t xml:space="preserve">has long been an accepted attribute of working with </w:t>
      </w:r>
      <w:r>
        <w:rPr>
          <w:i/>
        </w:rPr>
        <w:t>P.</w:t>
      </w:r>
      <w:r w:rsidRPr="00EF0CDD">
        <w:rPr>
          <w:i/>
        </w:rPr>
        <w:t xml:space="preserve"> pastoris</w:t>
      </w:r>
      <w:r w:rsidRPr="00EF0CDD">
        <w:t xml:space="preserve"> </w:t>
      </w:r>
      <w:r>
        <w:t xml:space="preserve">and leads to </w:t>
      </w:r>
      <w:r w:rsidRPr="00EF0CDD">
        <w:t>researchers often screening thousands of coloni</w:t>
      </w:r>
      <w:r>
        <w:t>es to identify the best secretor.</w:t>
      </w:r>
    </w:p>
    <w:p w:rsidR="002A68EA" w:rsidRPr="004C1DB1" w:rsidRDefault="004C1DB1" w:rsidP="008661E5">
      <w:r>
        <w:t>To investigate the intricacies of clonal variation, microarray analysis</w:t>
      </w:r>
      <w:r w:rsidRPr="00DF0C51">
        <w:t xml:space="preserve"> </w:t>
      </w:r>
      <w:r>
        <w:t xml:space="preserve">using optimised second generation </w:t>
      </w:r>
      <w:r>
        <w:rPr>
          <w:i/>
        </w:rPr>
        <w:t>P. pastoris</w:t>
      </w:r>
      <w:r>
        <w:t xml:space="preserve"> specific probe sets was undertaken on strains of GS115 transformed with a single copy of a human serum albumin (</w:t>
      </w:r>
      <w:r>
        <w:rPr>
          <w:i/>
        </w:rPr>
        <w:t>HSA</w:t>
      </w:r>
      <w:r>
        <w:t>) gene. Nine strains: three high, three mid-level and three low secretors were analysed to try and identify common trends to explain the variation observed. However, no common pathways consistently correlated with titre levels. Instead, a number of physiological changes appeared to explain differences in titre, suggesting there is more than one biochemical signat</w:t>
      </w:r>
      <w:r w:rsidR="008661E5">
        <w:t>ure for high producing strains.</w:t>
      </w:r>
    </w:p>
    <w:sectPr w:rsidR="002A68EA" w:rsidRPr="004C1D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F5DFB"/>
    <w:multiLevelType w:val="hybridMultilevel"/>
    <w:tmpl w:val="8DB6DFF6"/>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F0C"/>
    <w:rsid w:val="00110A73"/>
    <w:rsid w:val="001F656A"/>
    <w:rsid w:val="002223F5"/>
    <w:rsid w:val="002A68EA"/>
    <w:rsid w:val="00364F73"/>
    <w:rsid w:val="003F357E"/>
    <w:rsid w:val="004C1DB1"/>
    <w:rsid w:val="00544454"/>
    <w:rsid w:val="006E7879"/>
    <w:rsid w:val="00750673"/>
    <w:rsid w:val="008661E5"/>
    <w:rsid w:val="00926C21"/>
    <w:rsid w:val="00A72F72"/>
    <w:rsid w:val="00B1718D"/>
    <w:rsid w:val="00CF38F5"/>
    <w:rsid w:val="00D56423"/>
    <w:rsid w:val="00D6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68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68E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00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Rochelle Aw</dc:creator>
  <cp:lastModifiedBy>Rochelle Aw</cp:lastModifiedBy>
  <cp:revision>2</cp:revision>
  <dcterms:created xsi:type="dcterms:W3CDTF">2014-05-06T15:42:00Z</dcterms:created>
  <dcterms:modified xsi:type="dcterms:W3CDTF">2014-05-06T15:42:00Z</dcterms:modified>
</cp:coreProperties>
</file>