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915" w:rsidRPr="00460D68" w:rsidRDefault="00954025" w:rsidP="00954025">
      <w:pPr>
        <w:spacing w:after="0" w:line="240" w:lineRule="auto"/>
        <w:jc w:val="center"/>
        <w:rPr>
          <w:rFonts w:ascii="Palatino Linotype" w:hAnsi="Palatino Linotype" w:cs="Arial"/>
          <w:sz w:val="18"/>
          <w:szCs w:val="18"/>
        </w:rPr>
      </w:pPr>
      <w:r w:rsidRPr="00460D68">
        <w:rPr>
          <w:rFonts w:ascii="Palatino Linotype" w:hAnsi="Palatino Linotype" w:cs="Arial"/>
          <w:sz w:val="18"/>
          <w:szCs w:val="18"/>
        </w:rPr>
        <w:t>The 14</w:t>
      </w:r>
      <w:r w:rsidRPr="00460D68">
        <w:rPr>
          <w:rFonts w:ascii="Palatino Linotype" w:hAnsi="Palatino Linotype" w:cs="Arial"/>
          <w:sz w:val="18"/>
          <w:szCs w:val="18"/>
          <w:vertAlign w:val="superscript"/>
        </w:rPr>
        <w:t>th</w:t>
      </w:r>
      <w:r w:rsidRPr="00460D68">
        <w:rPr>
          <w:rFonts w:ascii="Palatino Linotype" w:hAnsi="Palatino Linotype" w:cs="Arial"/>
          <w:sz w:val="18"/>
          <w:szCs w:val="18"/>
        </w:rPr>
        <w:t xml:space="preserve"> American Institute of Chemical Engineers, AIChE, Annual General Meeting</w:t>
      </w:r>
    </w:p>
    <w:p w:rsidR="00954025" w:rsidRPr="00460D68" w:rsidRDefault="00954025" w:rsidP="00954025">
      <w:pPr>
        <w:spacing w:after="0" w:line="240" w:lineRule="auto"/>
        <w:jc w:val="center"/>
        <w:rPr>
          <w:rFonts w:ascii="Palatino Linotype" w:hAnsi="Palatino Linotype" w:cs="Arial"/>
          <w:sz w:val="18"/>
          <w:szCs w:val="18"/>
        </w:rPr>
      </w:pPr>
      <w:r w:rsidRPr="00460D68">
        <w:rPr>
          <w:rFonts w:ascii="Palatino Linotype" w:hAnsi="Palatino Linotype" w:cs="Arial"/>
          <w:sz w:val="18"/>
          <w:szCs w:val="18"/>
        </w:rPr>
        <w:t xml:space="preserve">Atlanta Marriott </w:t>
      </w:r>
      <w:r w:rsidR="00460D68" w:rsidRPr="00460D68">
        <w:rPr>
          <w:rFonts w:ascii="Palatino Linotype" w:hAnsi="Palatino Linotype" w:cs="Arial"/>
          <w:sz w:val="18"/>
          <w:szCs w:val="18"/>
        </w:rPr>
        <w:t>Marquis &amp;</w:t>
      </w:r>
      <w:r w:rsidRPr="00460D68">
        <w:rPr>
          <w:rFonts w:ascii="Palatino Linotype" w:hAnsi="Palatino Linotype" w:cs="Arial"/>
          <w:sz w:val="18"/>
          <w:szCs w:val="18"/>
        </w:rPr>
        <w:t xml:space="preserve"> Hilton Atlanta, Atlanta GA, USA November 16 – 21 2014</w:t>
      </w:r>
    </w:p>
    <w:p w:rsidR="00954025" w:rsidRPr="001C52D7" w:rsidRDefault="00954025">
      <w:pPr>
        <w:rPr>
          <w:rFonts w:ascii="Arial" w:hAnsi="Arial" w:cs="Arial"/>
          <w:sz w:val="16"/>
          <w:szCs w:val="16"/>
        </w:rPr>
      </w:pPr>
    </w:p>
    <w:p w:rsidR="00954025" w:rsidRPr="00BA1FB2" w:rsidRDefault="00BA1FB2" w:rsidP="001B2A86">
      <w:pPr>
        <w:jc w:val="center"/>
        <w:rPr>
          <w:rFonts w:ascii="Arial" w:hAnsi="Arial" w:cs="Arial"/>
          <w:sz w:val="30"/>
          <w:szCs w:val="30"/>
        </w:rPr>
      </w:pPr>
      <w:r w:rsidRPr="00BA1FB2">
        <w:rPr>
          <w:rFonts w:ascii="Arial" w:hAnsi="Arial" w:cs="Arial"/>
          <w:sz w:val="30"/>
          <w:szCs w:val="30"/>
        </w:rPr>
        <w:t>Granular Modelling of Gas-Solid Hydrodynamics in Fluid Catalytic Cracking (FCC) Riser Reactors using Commercial Code</w:t>
      </w:r>
    </w:p>
    <w:p w:rsidR="001B2A86" w:rsidRPr="001C52D7" w:rsidRDefault="001B2A86" w:rsidP="001B2A86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54025" w:rsidRPr="001B2A86" w:rsidRDefault="001B2A86" w:rsidP="001B2A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B2A86">
        <w:rPr>
          <w:rFonts w:ascii="Arial" w:hAnsi="Arial" w:cs="Arial"/>
          <w:b/>
          <w:sz w:val="20"/>
          <w:szCs w:val="20"/>
        </w:rPr>
        <w:t>Engr. Dr. M. N. Idris</w:t>
      </w:r>
      <w:r w:rsidR="00FF7649">
        <w:rPr>
          <w:rFonts w:ascii="Arial" w:hAnsi="Arial" w:cs="Arial"/>
          <w:b/>
          <w:sz w:val="20"/>
          <w:szCs w:val="20"/>
        </w:rPr>
        <w:t>*</w:t>
      </w:r>
      <w:r w:rsidRPr="001B2A86">
        <w:rPr>
          <w:rFonts w:ascii="Arial" w:hAnsi="Arial" w:cs="Arial"/>
          <w:sz w:val="20"/>
          <w:szCs w:val="20"/>
        </w:rPr>
        <w:t xml:space="preserve">; </w:t>
      </w:r>
      <w:r w:rsidRPr="001B2A86">
        <w:rPr>
          <w:rFonts w:ascii="Arial" w:hAnsi="Arial" w:cs="Arial"/>
          <w:sz w:val="16"/>
          <w:szCs w:val="16"/>
        </w:rPr>
        <w:t>MAIChE, AMIChemE</w:t>
      </w:r>
      <w:bookmarkStart w:id="0" w:name="_GoBack"/>
      <w:bookmarkEnd w:id="0"/>
      <w:r w:rsidRPr="001B2A86">
        <w:rPr>
          <w:rFonts w:ascii="Arial" w:hAnsi="Arial" w:cs="Arial"/>
          <w:sz w:val="16"/>
          <w:szCs w:val="16"/>
        </w:rPr>
        <w:t>, MNSE</w:t>
      </w:r>
    </w:p>
    <w:p w:rsidR="001B2A86" w:rsidRPr="001B2A86" w:rsidRDefault="001B2A86" w:rsidP="001B2A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B2A86">
        <w:rPr>
          <w:rFonts w:ascii="Arial" w:hAnsi="Arial" w:cs="Arial"/>
          <w:sz w:val="20"/>
          <w:szCs w:val="20"/>
        </w:rPr>
        <w:t>Energy &amp; Process Refining Technology Group</w:t>
      </w:r>
    </w:p>
    <w:p w:rsidR="001B2A86" w:rsidRPr="001B2A86" w:rsidRDefault="001B2A86" w:rsidP="001B2A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B2A86">
        <w:rPr>
          <w:rFonts w:ascii="Arial" w:hAnsi="Arial" w:cs="Arial"/>
          <w:sz w:val="20"/>
          <w:szCs w:val="20"/>
        </w:rPr>
        <w:t>Department of Chemical Engineering</w:t>
      </w:r>
    </w:p>
    <w:p w:rsidR="001B2A86" w:rsidRPr="001B2A86" w:rsidRDefault="001B2A86" w:rsidP="001B2A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B2A86">
        <w:rPr>
          <w:rFonts w:ascii="Arial" w:hAnsi="Arial" w:cs="Arial"/>
          <w:sz w:val="20"/>
          <w:szCs w:val="20"/>
        </w:rPr>
        <w:t>University of Maiduguri</w:t>
      </w:r>
    </w:p>
    <w:p w:rsidR="001B2A86" w:rsidRPr="001B2A86" w:rsidRDefault="001B2A86" w:rsidP="001B2A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B2A86">
        <w:rPr>
          <w:rFonts w:ascii="Arial" w:hAnsi="Arial" w:cs="Arial"/>
          <w:sz w:val="20"/>
          <w:szCs w:val="20"/>
        </w:rPr>
        <w:t>Borno State, Nigeria</w:t>
      </w:r>
    </w:p>
    <w:p w:rsidR="001B2A86" w:rsidRPr="001B2A86" w:rsidRDefault="001B2A86" w:rsidP="001B2A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B2A86">
        <w:rPr>
          <w:rFonts w:ascii="Arial" w:hAnsi="Arial" w:cs="Arial"/>
          <w:sz w:val="20"/>
          <w:szCs w:val="20"/>
        </w:rPr>
        <w:t>Tel: +234 (0) 705 877 1096</w:t>
      </w:r>
    </w:p>
    <w:p w:rsidR="001B2A86" w:rsidRPr="001B2A86" w:rsidRDefault="001B2A86" w:rsidP="001B2A8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B2A86">
        <w:rPr>
          <w:rFonts w:ascii="Arial" w:hAnsi="Arial" w:cs="Arial"/>
          <w:sz w:val="20"/>
          <w:szCs w:val="20"/>
        </w:rPr>
        <w:t xml:space="preserve">Email: </w:t>
      </w:r>
      <w:hyperlink r:id="rId5" w:history="1">
        <w:r w:rsidRPr="001B2A86">
          <w:rPr>
            <w:rStyle w:val="Hyperlink"/>
            <w:rFonts w:ascii="Arial" w:hAnsi="Arial" w:cs="Arial"/>
            <w:sz w:val="20"/>
            <w:szCs w:val="20"/>
          </w:rPr>
          <w:t>idrismn@unimaid.edu.ng</w:t>
        </w:r>
      </w:hyperlink>
      <w:r w:rsidRPr="001B2A86">
        <w:rPr>
          <w:rFonts w:ascii="Arial" w:hAnsi="Arial" w:cs="Arial"/>
          <w:sz w:val="20"/>
          <w:szCs w:val="20"/>
        </w:rPr>
        <w:t xml:space="preserve">, </w:t>
      </w:r>
      <w:hyperlink r:id="rId6" w:history="1">
        <w:r w:rsidRPr="001B2A86">
          <w:rPr>
            <w:rStyle w:val="Hyperlink"/>
            <w:rFonts w:ascii="Arial" w:hAnsi="Arial" w:cs="Arial"/>
            <w:sz w:val="20"/>
            <w:szCs w:val="20"/>
          </w:rPr>
          <w:t>muhinu@hotmail.co.uk</w:t>
        </w:r>
      </w:hyperlink>
    </w:p>
    <w:p w:rsidR="001B2A86" w:rsidRPr="001B2A86" w:rsidRDefault="001B2A86">
      <w:pPr>
        <w:rPr>
          <w:rFonts w:ascii="Arial" w:hAnsi="Arial" w:cs="Arial"/>
        </w:rPr>
      </w:pPr>
    </w:p>
    <w:p w:rsidR="00954025" w:rsidRPr="004814B7" w:rsidRDefault="00954025" w:rsidP="001B2A86">
      <w:pPr>
        <w:spacing w:after="0" w:line="360" w:lineRule="auto"/>
        <w:rPr>
          <w:rFonts w:ascii="Arial" w:hAnsi="Arial" w:cs="Arial"/>
          <w:b/>
          <w:sz w:val="26"/>
          <w:szCs w:val="26"/>
        </w:rPr>
      </w:pPr>
      <w:r w:rsidRPr="004814B7">
        <w:rPr>
          <w:rFonts w:ascii="Arial" w:hAnsi="Arial" w:cs="Arial"/>
          <w:b/>
          <w:sz w:val="26"/>
          <w:szCs w:val="26"/>
        </w:rPr>
        <w:t>ABSTRACT</w:t>
      </w:r>
    </w:p>
    <w:p w:rsidR="004814B7" w:rsidRPr="001C52D7" w:rsidRDefault="00E11588" w:rsidP="00460D68">
      <w:pPr>
        <w:spacing w:after="0" w:line="360" w:lineRule="auto"/>
        <w:jc w:val="both"/>
        <w:rPr>
          <w:rFonts w:ascii="Arial" w:eastAsia="Times New Roman" w:hAnsi="Arial" w:cs="Arial"/>
          <w:i/>
        </w:rPr>
      </w:pPr>
      <w:r w:rsidRPr="001C52D7">
        <w:rPr>
          <w:rFonts w:ascii="Arial" w:eastAsia="Times New Roman" w:hAnsi="Arial" w:cs="Arial"/>
          <w:i/>
        </w:rPr>
        <w:t xml:space="preserve">The application of commercial computational fluid dynamics (CFD) usefulness to study the hydrodynamics of gas-solid flow in FCC is a complex phenomenon. The essence of this study is basically on the heat transfer conservation and economies. In order to establish </w:t>
      </w:r>
      <w:r w:rsidR="00460D68" w:rsidRPr="001C52D7">
        <w:rPr>
          <w:rFonts w:ascii="Arial" w:eastAsia="Times New Roman" w:hAnsi="Arial" w:cs="Arial"/>
          <w:i/>
        </w:rPr>
        <w:t>concise and reasonable predictions</w:t>
      </w:r>
      <w:r w:rsidRPr="001C52D7">
        <w:rPr>
          <w:rFonts w:ascii="Arial" w:eastAsia="Times New Roman" w:hAnsi="Arial" w:cs="Arial"/>
          <w:i/>
        </w:rPr>
        <w:t>, a choice of runs for time-average comparison for solid velocities and concentrations to measure fluxes and densities along the riser axes of heat transfer</w:t>
      </w:r>
      <w:r w:rsidR="00460D68">
        <w:rPr>
          <w:rFonts w:ascii="Arial" w:eastAsia="Times New Roman" w:hAnsi="Arial" w:cs="Arial"/>
          <w:i/>
        </w:rPr>
        <w:t xml:space="preserve"> were used</w:t>
      </w:r>
      <w:r w:rsidRPr="001C52D7">
        <w:rPr>
          <w:rFonts w:ascii="Arial" w:eastAsia="Times New Roman" w:hAnsi="Arial" w:cs="Arial"/>
          <w:i/>
        </w:rPr>
        <w:t xml:space="preserve">. The model structure were carried out successfully and compared with experimental data on a CFB/FCC riser length of 15.1m and 0.10m in diameter. The </w:t>
      </w:r>
      <w:r w:rsidR="005F0539" w:rsidRPr="001C52D7">
        <w:rPr>
          <w:rFonts w:ascii="Arial" w:eastAsia="Times New Roman" w:hAnsi="Arial" w:cs="Arial"/>
          <w:i/>
        </w:rPr>
        <w:t>model incorporates a two-fluid framework with kinetic theory of granular flow (KTGF) to simulate fully developed gas-solid flows in vertical risers. This study presents the simulation of gas-solid hydrodynamics and flow behaviour in a riser circulating fluidised bed (CFB) reactor using the Eulerian-Lagrangian two-fluid modelling approach, incorporating a kinetic theory constitutive model for dilute assemblies of FCC particulate solid. The interaction between gas and particles was modelled using particle interphase momentum transfer model with Schiller</w:t>
      </w:r>
      <w:r w:rsidR="004814B7" w:rsidRPr="001C52D7">
        <w:rPr>
          <w:rFonts w:ascii="Arial" w:eastAsia="Times New Roman" w:hAnsi="Arial" w:cs="Arial"/>
          <w:i/>
        </w:rPr>
        <w:t>-</w:t>
      </w:r>
      <w:r w:rsidR="005F0539" w:rsidRPr="001C52D7">
        <w:rPr>
          <w:rFonts w:ascii="Arial" w:eastAsia="Times New Roman" w:hAnsi="Arial" w:cs="Arial"/>
          <w:i/>
        </w:rPr>
        <w:t xml:space="preserve">Naumann drag model on a proprietary CFD code (ANSYS CFX), using turbulent k-ɛ models. </w:t>
      </w:r>
      <w:r w:rsidR="004814B7" w:rsidRPr="001C52D7">
        <w:rPr>
          <w:rFonts w:ascii="Arial" w:eastAsia="Times New Roman" w:hAnsi="Arial" w:cs="Arial"/>
          <w:i/>
        </w:rPr>
        <w:t xml:space="preserve">The predicted heat transfer coefficients were reasonably compared with published experimental data. The overall flow patterns within the fluidise bed riser were predicted well by the model. </w:t>
      </w:r>
    </w:p>
    <w:p w:rsidR="003F6361" w:rsidRPr="001C52D7" w:rsidRDefault="004814B7" w:rsidP="00460D68">
      <w:pPr>
        <w:spacing w:after="0" w:line="360" w:lineRule="auto"/>
        <w:jc w:val="both"/>
        <w:rPr>
          <w:rFonts w:ascii="Arial" w:eastAsia="Calibri" w:hAnsi="Arial" w:cs="Arial"/>
          <w:i/>
          <w:lang w:val="en-US"/>
        </w:rPr>
      </w:pPr>
      <w:r w:rsidRPr="001C52D7">
        <w:rPr>
          <w:rFonts w:ascii="Arial" w:eastAsia="Times New Roman" w:hAnsi="Arial" w:cs="Arial"/>
          <w:i/>
        </w:rPr>
        <w:t>The results of this study help in predicting the commercial implications and its economics toward the choice of heat conservation and utilisation in the FCC process systems.</w:t>
      </w:r>
      <w:r w:rsidR="003F6361" w:rsidRPr="001C52D7">
        <w:rPr>
          <w:rFonts w:ascii="Arial" w:eastAsia="Calibri" w:hAnsi="Arial" w:cs="Arial"/>
          <w:i/>
          <w:lang w:val="en-US"/>
        </w:rPr>
        <w:t xml:space="preserve"> </w:t>
      </w:r>
    </w:p>
    <w:p w:rsidR="001B2A86" w:rsidRDefault="001B2A86" w:rsidP="001B2A86">
      <w:pPr>
        <w:spacing w:after="0" w:line="360" w:lineRule="auto"/>
        <w:jc w:val="both"/>
        <w:rPr>
          <w:rFonts w:ascii="Arial" w:eastAsia="Calibri" w:hAnsi="Arial" w:cs="Arial"/>
          <w:i/>
          <w:lang w:val="en-US"/>
        </w:rPr>
      </w:pPr>
    </w:p>
    <w:p w:rsidR="001B2A86" w:rsidRDefault="001B2A86" w:rsidP="001B2A86">
      <w:pPr>
        <w:spacing w:after="0" w:line="360" w:lineRule="auto"/>
        <w:jc w:val="both"/>
        <w:rPr>
          <w:rFonts w:ascii="Arial" w:eastAsia="Calibri" w:hAnsi="Arial" w:cs="Arial"/>
          <w:i/>
          <w:sz w:val="20"/>
          <w:szCs w:val="20"/>
          <w:lang w:val="en-US"/>
        </w:rPr>
      </w:pPr>
      <w:r w:rsidRPr="001B2A86">
        <w:rPr>
          <w:rFonts w:ascii="Arial" w:eastAsia="Calibri" w:hAnsi="Arial" w:cs="Arial"/>
          <w:b/>
          <w:i/>
          <w:sz w:val="20"/>
          <w:szCs w:val="20"/>
          <w:lang w:val="en-US"/>
        </w:rPr>
        <w:t>Keywords:</w:t>
      </w:r>
      <w:r>
        <w:rPr>
          <w:rFonts w:ascii="Arial" w:eastAsia="Calibri" w:hAnsi="Arial" w:cs="Arial"/>
          <w:i/>
          <w:lang w:val="en-US"/>
        </w:rPr>
        <w:t xml:space="preserve"> </w:t>
      </w:r>
      <w:r w:rsidR="004814B7">
        <w:rPr>
          <w:rFonts w:ascii="Arial" w:eastAsia="Calibri" w:hAnsi="Arial" w:cs="Arial"/>
          <w:i/>
          <w:sz w:val="20"/>
          <w:szCs w:val="20"/>
          <w:lang w:val="en-US"/>
        </w:rPr>
        <w:t>CFD, CFB, KTGF, Heat transfer, Hydrodynamics modelling</w:t>
      </w:r>
    </w:p>
    <w:p w:rsidR="004814B7" w:rsidRDefault="004814B7" w:rsidP="001B2A86">
      <w:pPr>
        <w:spacing w:after="0" w:line="360" w:lineRule="auto"/>
        <w:jc w:val="both"/>
        <w:rPr>
          <w:rFonts w:ascii="Arial" w:eastAsia="Calibri" w:hAnsi="Arial" w:cs="Arial"/>
          <w:i/>
          <w:lang w:val="en-US"/>
        </w:rPr>
      </w:pPr>
      <w:r>
        <w:rPr>
          <w:rFonts w:ascii="Arial" w:eastAsia="Calibri" w:hAnsi="Arial" w:cs="Arial"/>
          <w:i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DBFA0" wp14:editId="543D3FA8">
                <wp:simplePos x="0" y="0"/>
                <wp:positionH relativeFrom="column">
                  <wp:posOffset>28575</wp:posOffset>
                </wp:positionH>
                <wp:positionV relativeFrom="paragraph">
                  <wp:posOffset>114300</wp:posOffset>
                </wp:positionV>
                <wp:extent cx="31051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5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9pt" to="246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" strokecolor="#4579b8 [3044]"/>
            </w:pict>
          </mc:Fallback>
        </mc:AlternateContent>
      </w:r>
    </w:p>
    <w:p w:rsidR="003F6361" w:rsidRPr="001C52D7" w:rsidRDefault="001B2A86" w:rsidP="001C52D7">
      <w:pPr>
        <w:spacing w:after="0" w:line="240" w:lineRule="auto"/>
        <w:jc w:val="both"/>
        <w:rPr>
          <w:rFonts w:ascii="Arial" w:eastAsia="Calibri" w:hAnsi="Arial" w:cs="Arial"/>
          <w:i/>
          <w:sz w:val="20"/>
          <w:szCs w:val="20"/>
          <w:lang w:val="en-US"/>
        </w:rPr>
      </w:pPr>
      <w:r w:rsidRPr="001C52D7">
        <w:rPr>
          <w:rFonts w:ascii="Arial" w:eastAsia="Calibri" w:hAnsi="Arial" w:cs="Arial"/>
          <w:b/>
          <w:i/>
          <w:sz w:val="20"/>
          <w:szCs w:val="20"/>
          <w:lang w:val="en-US"/>
        </w:rPr>
        <w:t xml:space="preserve">Correspondence </w:t>
      </w:r>
      <w:r w:rsidR="001C52D7" w:rsidRPr="001C52D7">
        <w:rPr>
          <w:rFonts w:ascii="Arial" w:eastAsia="Calibri" w:hAnsi="Arial" w:cs="Arial"/>
          <w:b/>
          <w:i/>
          <w:sz w:val="20"/>
          <w:szCs w:val="20"/>
          <w:lang w:val="en-US"/>
        </w:rPr>
        <w:t>concerning</w:t>
      </w:r>
      <w:r w:rsidRPr="001C52D7">
        <w:rPr>
          <w:rFonts w:ascii="Arial" w:eastAsia="Calibri" w:hAnsi="Arial" w:cs="Arial"/>
          <w:b/>
          <w:i/>
          <w:sz w:val="20"/>
          <w:szCs w:val="20"/>
          <w:lang w:val="en-US"/>
        </w:rPr>
        <w:t xml:space="preserve"> </w:t>
      </w:r>
      <w:r w:rsidR="00FF7649" w:rsidRPr="001C52D7">
        <w:rPr>
          <w:rFonts w:ascii="Arial" w:eastAsia="Calibri" w:hAnsi="Arial" w:cs="Arial"/>
          <w:b/>
          <w:i/>
          <w:sz w:val="20"/>
          <w:szCs w:val="20"/>
          <w:lang w:val="en-US"/>
        </w:rPr>
        <w:t>this article</w:t>
      </w:r>
      <w:r w:rsidRPr="001C52D7">
        <w:rPr>
          <w:rFonts w:ascii="Arial" w:eastAsia="Calibri" w:hAnsi="Arial" w:cs="Arial"/>
          <w:i/>
          <w:sz w:val="20"/>
          <w:szCs w:val="20"/>
          <w:lang w:val="en-US"/>
        </w:rPr>
        <w:t xml:space="preserve">: </w:t>
      </w:r>
      <w:r w:rsidR="00FF7649" w:rsidRPr="001C52D7">
        <w:rPr>
          <w:rFonts w:ascii="Arial" w:eastAsia="Calibri" w:hAnsi="Arial" w:cs="Arial"/>
          <w:i/>
          <w:sz w:val="20"/>
          <w:szCs w:val="20"/>
          <w:lang w:val="en-US"/>
        </w:rPr>
        <w:t>Please for all correspondence on this article, kindly contact the principal author as stated above</w:t>
      </w:r>
      <w:r w:rsidR="001C52D7" w:rsidRPr="001C52D7">
        <w:rPr>
          <w:rFonts w:ascii="Arial" w:eastAsia="Calibri" w:hAnsi="Arial" w:cs="Arial"/>
          <w:i/>
          <w:sz w:val="20"/>
          <w:szCs w:val="20"/>
          <w:lang w:val="en-US"/>
        </w:rPr>
        <w:t>, or School of Process, Environmental and Material Engineering (SPEME), University of Leeds, LS2 9JT, United Kingdom</w:t>
      </w:r>
      <w:r w:rsidR="00FF7649" w:rsidRPr="001C52D7">
        <w:rPr>
          <w:rFonts w:ascii="Arial" w:eastAsia="Calibri" w:hAnsi="Arial" w:cs="Arial"/>
          <w:i/>
          <w:sz w:val="20"/>
          <w:szCs w:val="20"/>
          <w:lang w:val="en-US"/>
        </w:rPr>
        <w:t>. Thank you.</w:t>
      </w:r>
      <w:r w:rsidRPr="001C52D7">
        <w:rPr>
          <w:sz w:val="20"/>
          <w:szCs w:val="20"/>
        </w:rPr>
        <w:tab/>
      </w:r>
    </w:p>
    <w:sectPr w:rsidR="003F6361" w:rsidRPr="001C52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025"/>
    <w:rsid w:val="001B2A86"/>
    <w:rsid w:val="001C52D7"/>
    <w:rsid w:val="0025002B"/>
    <w:rsid w:val="003F6361"/>
    <w:rsid w:val="00460D68"/>
    <w:rsid w:val="004814B7"/>
    <w:rsid w:val="005F0539"/>
    <w:rsid w:val="00622915"/>
    <w:rsid w:val="00954025"/>
    <w:rsid w:val="00BA1FB2"/>
    <w:rsid w:val="00E11588"/>
    <w:rsid w:val="00F2238D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A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A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uhinu@hotmail.co.uk" TargetMode="External"/><Relationship Id="rId5" Type="http://schemas.openxmlformats.org/officeDocument/2006/relationships/hyperlink" Target="mailto:idrismn@unimaid.edu.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muhajj</dc:creator>
  <cp:lastModifiedBy>muhajj</cp:lastModifiedBy>
  <cp:revision>5</cp:revision>
  <dcterms:created xsi:type="dcterms:W3CDTF">2014-05-02T10:14:00Z</dcterms:created>
  <dcterms:modified xsi:type="dcterms:W3CDTF">2014-05-02T10:51:00Z</dcterms:modified>
</cp:coreProperties>
</file>