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8DB" w:rsidRPr="00DE3556" w:rsidRDefault="00D549E0">
      <w:pPr>
        <w:rPr>
          <w:rFonts w:ascii="Arial" w:hAnsi="Arial" w:cs="Arial"/>
        </w:rPr>
      </w:pPr>
      <w:r w:rsidRPr="00DE3556">
        <w:rPr>
          <w:rFonts w:ascii="Arial" w:hAnsi="Arial" w:cs="Arial"/>
        </w:rPr>
        <w:t xml:space="preserve">Introduction: </w:t>
      </w:r>
      <w:proofErr w:type="spellStart"/>
      <w:r w:rsidR="00371C1A" w:rsidRPr="00DE3556">
        <w:rPr>
          <w:rFonts w:ascii="Arial" w:hAnsi="Arial" w:cs="Arial"/>
        </w:rPr>
        <w:t>Sorafenib</w:t>
      </w:r>
      <w:proofErr w:type="spellEnd"/>
      <w:r w:rsidR="00371C1A" w:rsidRPr="00DE3556">
        <w:rPr>
          <w:rFonts w:ascii="Arial" w:hAnsi="Arial" w:cs="Arial"/>
        </w:rPr>
        <w:t xml:space="preserve"> is a </w:t>
      </w:r>
      <w:proofErr w:type="spellStart"/>
      <w:r w:rsidR="00371C1A" w:rsidRPr="00DE3556">
        <w:rPr>
          <w:rFonts w:ascii="Arial" w:hAnsi="Arial" w:cs="Arial"/>
        </w:rPr>
        <w:t>multikinase</w:t>
      </w:r>
      <w:proofErr w:type="spellEnd"/>
      <w:r w:rsidR="00371C1A" w:rsidRPr="00DE3556">
        <w:rPr>
          <w:rFonts w:ascii="Arial" w:hAnsi="Arial" w:cs="Arial"/>
        </w:rPr>
        <w:t xml:space="preserve"> inhibitor that was approved by the FDA in 2007 for the treatment of </w:t>
      </w:r>
      <w:proofErr w:type="spellStart"/>
      <w:r w:rsidR="00371C1A" w:rsidRPr="00DE3556">
        <w:rPr>
          <w:rFonts w:ascii="Arial" w:hAnsi="Arial" w:cs="Arial"/>
        </w:rPr>
        <w:t>hepatocellular</w:t>
      </w:r>
      <w:proofErr w:type="spellEnd"/>
      <w:r w:rsidR="00371C1A" w:rsidRPr="00DE3556">
        <w:rPr>
          <w:rFonts w:ascii="Arial" w:hAnsi="Arial" w:cs="Arial"/>
        </w:rPr>
        <w:t xml:space="preserve"> carcinoma (HCC). Since then, it has quickly become the standard of care for patients with advanced stage disease.  However, patient tolerance is an issue due to the side effects resulting from systemic delivery.  To avoid systemic delivery of chemotherapies for HCC, a procedure called </w:t>
      </w:r>
      <w:proofErr w:type="spellStart"/>
      <w:r w:rsidR="00371C1A" w:rsidRPr="00DE3556">
        <w:rPr>
          <w:rFonts w:ascii="Arial" w:hAnsi="Arial" w:cs="Arial"/>
        </w:rPr>
        <w:t>transarterial</w:t>
      </w:r>
      <w:proofErr w:type="spellEnd"/>
      <w:r w:rsidR="00371C1A" w:rsidRPr="00DE3556">
        <w:rPr>
          <w:rFonts w:ascii="Arial" w:hAnsi="Arial" w:cs="Arial"/>
        </w:rPr>
        <w:t xml:space="preserve"> </w:t>
      </w:r>
      <w:proofErr w:type="spellStart"/>
      <w:r w:rsidR="00371C1A" w:rsidRPr="00DE3556">
        <w:rPr>
          <w:rFonts w:ascii="Arial" w:hAnsi="Arial" w:cs="Arial"/>
        </w:rPr>
        <w:t>chemoembolization</w:t>
      </w:r>
      <w:proofErr w:type="spellEnd"/>
      <w:r w:rsidR="00371C1A" w:rsidRPr="00DE3556">
        <w:rPr>
          <w:rFonts w:ascii="Arial" w:hAnsi="Arial" w:cs="Arial"/>
        </w:rPr>
        <w:t xml:space="preserve"> (TACE) has been developed to selectively place a catheter in tumor feeding arteries to locally deliver the chemotherapy.  This is then followed by or combined with embolic agents to contain the chemotherapy and to further starve the tumor from nutrients and oxygen in the blood.  Thus, poly(</w:t>
      </w:r>
      <w:proofErr w:type="spellStart"/>
      <w:r w:rsidR="00371C1A" w:rsidRPr="00DE3556">
        <w:rPr>
          <w:rFonts w:ascii="Arial" w:hAnsi="Arial" w:cs="Arial"/>
        </w:rPr>
        <w:t>lactide</w:t>
      </w:r>
      <w:proofErr w:type="spellEnd"/>
      <w:r w:rsidR="00371C1A" w:rsidRPr="00DE3556">
        <w:rPr>
          <w:rFonts w:ascii="Arial" w:hAnsi="Arial" w:cs="Arial"/>
        </w:rPr>
        <w:t>-</w:t>
      </w:r>
      <w:r w:rsidR="00371C1A" w:rsidRPr="00DE3556">
        <w:rPr>
          <w:rFonts w:ascii="Arial" w:hAnsi="Arial" w:cs="Arial"/>
          <w:i/>
        </w:rPr>
        <w:t>co</w:t>
      </w:r>
      <w:r w:rsidR="00371C1A" w:rsidRPr="00DE3556">
        <w:rPr>
          <w:rFonts w:ascii="Arial" w:hAnsi="Arial" w:cs="Arial"/>
        </w:rPr>
        <w:t>-</w:t>
      </w:r>
      <w:proofErr w:type="spellStart"/>
      <w:r w:rsidR="00371C1A" w:rsidRPr="00DE3556">
        <w:rPr>
          <w:rFonts w:ascii="Arial" w:hAnsi="Arial" w:cs="Arial"/>
        </w:rPr>
        <w:t>glycolide</w:t>
      </w:r>
      <w:proofErr w:type="spellEnd"/>
      <w:r w:rsidR="00371C1A" w:rsidRPr="00DE3556">
        <w:rPr>
          <w:rFonts w:ascii="Arial" w:hAnsi="Arial" w:cs="Arial"/>
        </w:rPr>
        <w:t xml:space="preserve">) (PLG) microspheres have been developed that can encapsulate </w:t>
      </w:r>
      <w:proofErr w:type="spellStart"/>
      <w:r w:rsidR="00371C1A" w:rsidRPr="00DE3556">
        <w:rPr>
          <w:rFonts w:ascii="Arial" w:hAnsi="Arial" w:cs="Arial"/>
        </w:rPr>
        <w:t>sorafenib</w:t>
      </w:r>
      <w:proofErr w:type="spellEnd"/>
      <w:r w:rsidR="00371C1A" w:rsidRPr="00DE3556">
        <w:rPr>
          <w:rFonts w:ascii="Arial" w:hAnsi="Arial" w:cs="Arial"/>
        </w:rPr>
        <w:t xml:space="preserve"> for local delivery to liver tumors via TACE as well as co-encapsulating iron oxide </w:t>
      </w:r>
      <w:proofErr w:type="spellStart"/>
      <w:r w:rsidR="00371C1A" w:rsidRPr="00DE3556">
        <w:rPr>
          <w:rFonts w:ascii="Arial" w:hAnsi="Arial" w:cs="Arial"/>
        </w:rPr>
        <w:t>nanoparticles</w:t>
      </w:r>
      <w:proofErr w:type="spellEnd"/>
      <w:r w:rsidR="00371C1A" w:rsidRPr="00DE3556">
        <w:rPr>
          <w:rFonts w:ascii="Arial" w:hAnsi="Arial" w:cs="Arial"/>
        </w:rPr>
        <w:t xml:space="preserve"> to enable MRI-monitoring of the delivery.  Specifically, the purpose of this study aims to use MRI to correlate to microsphere concentrations at the tumor to determine estimated </w:t>
      </w:r>
      <w:proofErr w:type="spellStart"/>
      <w:r w:rsidR="00371C1A" w:rsidRPr="00DE3556">
        <w:rPr>
          <w:rFonts w:ascii="Arial" w:hAnsi="Arial" w:cs="Arial"/>
        </w:rPr>
        <w:t>sorafenib</w:t>
      </w:r>
      <w:proofErr w:type="spellEnd"/>
      <w:r w:rsidR="00371C1A" w:rsidRPr="00DE3556">
        <w:rPr>
          <w:rFonts w:ascii="Arial" w:hAnsi="Arial" w:cs="Arial"/>
        </w:rPr>
        <w:t xml:space="preserve"> doses delivered.</w:t>
      </w:r>
    </w:p>
    <w:p w:rsidR="00487A7B" w:rsidRPr="00DE3556" w:rsidRDefault="00D549E0">
      <w:pPr>
        <w:rPr>
          <w:rFonts w:ascii="Arial" w:hAnsi="Arial" w:cs="Arial"/>
        </w:rPr>
      </w:pPr>
      <w:r w:rsidRPr="00DE3556">
        <w:rPr>
          <w:rFonts w:ascii="Arial" w:hAnsi="Arial" w:cs="Arial"/>
        </w:rPr>
        <w:t xml:space="preserve">Methods: </w:t>
      </w:r>
      <w:r w:rsidR="00371C1A" w:rsidRPr="00DE3556">
        <w:rPr>
          <w:rFonts w:ascii="Arial" w:hAnsi="Arial" w:cs="Arial"/>
        </w:rPr>
        <w:t xml:space="preserve">PLG </w:t>
      </w:r>
      <w:proofErr w:type="spellStart"/>
      <w:r w:rsidR="00371C1A" w:rsidRPr="00DE3556">
        <w:rPr>
          <w:rFonts w:ascii="Arial" w:hAnsi="Arial" w:cs="Arial"/>
        </w:rPr>
        <w:t>sorafenib</w:t>
      </w:r>
      <w:proofErr w:type="spellEnd"/>
      <w:r w:rsidR="00371C1A" w:rsidRPr="00DE3556">
        <w:rPr>
          <w:rFonts w:ascii="Arial" w:hAnsi="Arial" w:cs="Arial"/>
        </w:rPr>
        <w:t xml:space="preserve"> iron oxide microspheres were fabricated via a double emulsion</w:t>
      </w:r>
      <w:r w:rsidR="00487A7B" w:rsidRPr="00DE3556">
        <w:rPr>
          <w:rFonts w:ascii="Arial" w:hAnsi="Arial" w:cs="Arial"/>
        </w:rPr>
        <w:t>/</w:t>
      </w:r>
      <w:r w:rsidR="00371C1A" w:rsidRPr="00DE3556">
        <w:rPr>
          <w:rFonts w:ascii="Arial" w:hAnsi="Arial" w:cs="Arial"/>
        </w:rPr>
        <w:t>solvent evaporation method.</w:t>
      </w:r>
      <w:r w:rsidR="00487A7B" w:rsidRPr="00DE3556">
        <w:rPr>
          <w:rFonts w:ascii="Arial" w:hAnsi="Arial" w:cs="Arial"/>
        </w:rPr>
        <w:t xml:space="preserve">  The microspheres were then characterized for microsphere size, </w:t>
      </w:r>
      <w:proofErr w:type="spellStart"/>
      <w:r w:rsidR="00487A7B" w:rsidRPr="00DE3556">
        <w:rPr>
          <w:rFonts w:ascii="Arial" w:hAnsi="Arial" w:cs="Arial"/>
        </w:rPr>
        <w:t>sorafenib</w:t>
      </w:r>
      <w:proofErr w:type="spellEnd"/>
      <w:r w:rsidR="00487A7B" w:rsidRPr="00DE3556">
        <w:rPr>
          <w:rFonts w:ascii="Arial" w:hAnsi="Arial" w:cs="Arial"/>
        </w:rPr>
        <w:t xml:space="preserve"> and iron oxide loading and release, as well as MRI contrast effect properties </w:t>
      </w:r>
      <w:r w:rsidR="00487A7B" w:rsidRPr="00DE3556">
        <w:rPr>
          <w:rFonts w:ascii="Arial" w:hAnsi="Arial" w:cs="Arial"/>
          <w:i/>
        </w:rPr>
        <w:t>in vitro</w:t>
      </w:r>
      <w:r w:rsidR="00080062" w:rsidRPr="00DE3556">
        <w:rPr>
          <w:rFonts w:ascii="Arial" w:hAnsi="Arial" w:cs="Arial"/>
        </w:rPr>
        <w:t xml:space="preserve"> (7T MRI, </w:t>
      </w:r>
      <w:proofErr w:type="spellStart"/>
      <w:r w:rsidR="00080062" w:rsidRPr="00DE3556">
        <w:rPr>
          <w:rFonts w:ascii="Arial" w:hAnsi="Arial" w:cs="Arial"/>
        </w:rPr>
        <w:t>Bruker</w:t>
      </w:r>
      <w:proofErr w:type="spellEnd"/>
      <w:r w:rsidR="00080062" w:rsidRPr="00DE3556">
        <w:rPr>
          <w:rFonts w:ascii="Arial" w:hAnsi="Arial" w:cs="Arial"/>
        </w:rPr>
        <w:t xml:space="preserve"> </w:t>
      </w:r>
      <w:proofErr w:type="spellStart"/>
      <w:r w:rsidR="00080062" w:rsidRPr="00DE3556">
        <w:rPr>
          <w:rFonts w:ascii="Arial" w:hAnsi="Arial" w:cs="Arial"/>
        </w:rPr>
        <w:t>Clinscan</w:t>
      </w:r>
      <w:proofErr w:type="spellEnd"/>
      <w:r w:rsidR="00080062" w:rsidRPr="00DE3556">
        <w:rPr>
          <w:rFonts w:ascii="Arial" w:hAnsi="Arial" w:cs="Arial"/>
        </w:rPr>
        <w:t xml:space="preserve">, </w:t>
      </w:r>
      <w:proofErr w:type="gramStart"/>
      <w:r w:rsidR="00080062" w:rsidRPr="00DE3556">
        <w:rPr>
          <w:rFonts w:ascii="Arial" w:hAnsi="Arial" w:cs="Arial"/>
        </w:rPr>
        <w:t>Billerica</w:t>
      </w:r>
      <w:proofErr w:type="gramEnd"/>
      <w:r w:rsidR="00080062" w:rsidRPr="00DE3556">
        <w:rPr>
          <w:rFonts w:ascii="Arial" w:hAnsi="Arial" w:cs="Arial"/>
        </w:rPr>
        <w:t>, MA, USA)</w:t>
      </w:r>
      <w:r w:rsidR="00487A7B" w:rsidRPr="00DE3556">
        <w:rPr>
          <w:rFonts w:ascii="Arial" w:hAnsi="Arial" w:cs="Arial"/>
        </w:rPr>
        <w:t xml:space="preserve">.  </w:t>
      </w:r>
      <w:r w:rsidR="00080062" w:rsidRPr="00DE3556">
        <w:rPr>
          <w:rFonts w:ascii="Arial" w:hAnsi="Arial" w:cs="Arial"/>
        </w:rPr>
        <w:t xml:space="preserve">From these </w:t>
      </w:r>
      <w:r w:rsidR="00080062" w:rsidRPr="00DE3556">
        <w:rPr>
          <w:rFonts w:ascii="Arial" w:hAnsi="Arial" w:cs="Arial"/>
          <w:i/>
        </w:rPr>
        <w:t>in vitro</w:t>
      </w:r>
      <w:r w:rsidR="00080062" w:rsidRPr="00DE3556">
        <w:rPr>
          <w:rFonts w:ascii="Arial" w:hAnsi="Arial" w:cs="Arial"/>
        </w:rPr>
        <w:t xml:space="preserve"> MRI studies, the microsphere concentrations were plotted to correlate against changes in MRI signal changes.  </w:t>
      </w:r>
      <w:r w:rsidR="00487A7B" w:rsidRPr="00DE3556">
        <w:rPr>
          <w:rFonts w:ascii="Arial" w:hAnsi="Arial" w:cs="Arial"/>
        </w:rPr>
        <w:t>Afterwards, liver tumors were inoculated in</w:t>
      </w:r>
      <w:r w:rsidR="00DF0ACB" w:rsidRPr="00DE3556">
        <w:rPr>
          <w:rFonts w:ascii="Arial" w:hAnsi="Arial" w:cs="Arial"/>
        </w:rPr>
        <w:t xml:space="preserve"> </w:t>
      </w:r>
      <w:proofErr w:type="gramStart"/>
      <w:r w:rsidR="00DF0ACB" w:rsidRPr="00DE3556">
        <w:rPr>
          <w:rFonts w:ascii="Arial" w:hAnsi="Arial" w:cs="Arial"/>
        </w:rPr>
        <w:t xml:space="preserve">4 </w:t>
      </w:r>
      <w:r w:rsidR="00487A7B" w:rsidRPr="00DE3556">
        <w:rPr>
          <w:rFonts w:ascii="Arial" w:hAnsi="Arial" w:cs="Arial"/>
        </w:rPr>
        <w:t xml:space="preserve"> New</w:t>
      </w:r>
      <w:proofErr w:type="gramEnd"/>
      <w:r w:rsidR="00487A7B" w:rsidRPr="00DE3556">
        <w:rPr>
          <w:rFonts w:ascii="Arial" w:hAnsi="Arial" w:cs="Arial"/>
        </w:rPr>
        <w:t xml:space="preserve"> Zealand White Rabbits in which a VX2 tumor fragment was injected through a biopsy needle under ultrasound guidance.  The tumor was then allowed to grow to roughly 1 cm in diameter after 2-3 week after which the rabbits underwent TACE procedures and microsphere infusions</w:t>
      </w:r>
      <w:r w:rsidR="00DF0ACB" w:rsidRPr="00DE3556">
        <w:rPr>
          <w:rFonts w:ascii="Arial" w:hAnsi="Arial" w:cs="Arial"/>
        </w:rPr>
        <w:t xml:space="preserve"> (50 mg)</w:t>
      </w:r>
      <w:r w:rsidR="00487A7B" w:rsidRPr="00DE3556">
        <w:rPr>
          <w:rFonts w:ascii="Arial" w:hAnsi="Arial" w:cs="Arial"/>
        </w:rPr>
        <w:t>.  The rabbits were also scanned</w:t>
      </w:r>
      <w:r w:rsidR="00080062" w:rsidRPr="00DE3556">
        <w:rPr>
          <w:rFonts w:ascii="Arial" w:hAnsi="Arial" w:cs="Arial"/>
        </w:rPr>
        <w:t xml:space="preserve"> pre-and post procedurally at the same 7T MRI </w:t>
      </w:r>
      <w:proofErr w:type="spellStart"/>
      <w:r w:rsidR="00080062" w:rsidRPr="00DE3556">
        <w:rPr>
          <w:rFonts w:ascii="Arial" w:hAnsi="Arial" w:cs="Arial"/>
        </w:rPr>
        <w:t>Bruker</w:t>
      </w:r>
      <w:proofErr w:type="spellEnd"/>
      <w:r w:rsidR="00080062" w:rsidRPr="00DE3556">
        <w:rPr>
          <w:rFonts w:ascii="Arial" w:hAnsi="Arial" w:cs="Arial"/>
        </w:rPr>
        <w:t xml:space="preserve"> </w:t>
      </w:r>
      <w:proofErr w:type="spellStart"/>
      <w:r w:rsidR="00080062" w:rsidRPr="00DE3556">
        <w:rPr>
          <w:rFonts w:ascii="Arial" w:hAnsi="Arial" w:cs="Arial"/>
        </w:rPr>
        <w:t>Clinscan</w:t>
      </w:r>
      <w:proofErr w:type="spellEnd"/>
      <w:r w:rsidR="00080062" w:rsidRPr="00DE3556">
        <w:rPr>
          <w:rFonts w:ascii="Arial" w:hAnsi="Arial" w:cs="Arial"/>
        </w:rPr>
        <w:t xml:space="preserve"> to compare tumor signals before and after microsphere infusion with T</w:t>
      </w:r>
      <w:r w:rsidR="00080062" w:rsidRPr="00DE3556">
        <w:rPr>
          <w:rFonts w:ascii="Arial" w:hAnsi="Arial" w:cs="Arial"/>
          <w:vertAlign w:val="subscript"/>
        </w:rPr>
        <w:t>2</w:t>
      </w:r>
      <w:r w:rsidR="00080062" w:rsidRPr="00DE3556">
        <w:rPr>
          <w:rFonts w:ascii="Arial" w:hAnsi="Arial" w:cs="Arial"/>
        </w:rPr>
        <w:t xml:space="preserve"> and T</w:t>
      </w:r>
      <w:r w:rsidR="00080062" w:rsidRPr="00DE3556">
        <w:rPr>
          <w:rFonts w:ascii="Arial" w:hAnsi="Arial" w:cs="Arial"/>
          <w:vertAlign w:val="subscript"/>
        </w:rPr>
        <w:t>2</w:t>
      </w:r>
      <w:r w:rsidR="00080062" w:rsidRPr="00DE3556">
        <w:rPr>
          <w:rFonts w:ascii="Arial" w:hAnsi="Arial" w:cs="Arial"/>
        </w:rPr>
        <w:t>* map protocols.   Afterwards, the tumor T</w:t>
      </w:r>
      <w:r w:rsidR="00080062" w:rsidRPr="00DE3556">
        <w:rPr>
          <w:rFonts w:ascii="Arial" w:hAnsi="Arial" w:cs="Arial"/>
          <w:vertAlign w:val="subscript"/>
        </w:rPr>
        <w:t>2</w:t>
      </w:r>
      <w:r w:rsidR="00080062" w:rsidRPr="00DE3556">
        <w:rPr>
          <w:rFonts w:ascii="Arial" w:hAnsi="Arial" w:cs="Arial"/>
        </w:rPr>
        <w:t xml:space="preserve"> and T</w:t>
      </w:r>
      <w:r w:rsidR="00080062" w:rsidRPr="00DE3556">
        <w:rPr>
          <w:rFonts w:ascii="Arial" w:hAnsi="Arial" w:cs="Arial"/>
          <w:vertAlign w:val="subscript"/>
        </w:rPr>
        <w:t>2</w:t>
      </w:r>
      <w:r w:rsidR="00080062" w:rsidRPr="00DE3556">
        <w:rPr>
          <w:rFonts w:ascii="Arial" w:hAnsi="Arial" w:cs="Arial"/>
        </w:rPr>
        <w:t>* values were extracted from the MRI images via MATLAB analyses to determine changes in the T</w:t>
      </w:r>
      <w:r w:rsidR="00080062" w:rsidRPr="00DE3556">
        <w:rPr>
          <w:rFonts w:ascii="Arial" w:hAnsi="Arial" w:cs="Arial"/>
          <w:vertAlign w:val="subscript"/>
        </w:rPr>
        <w:t>2</w:t>
      </w:r>
      <w:r w:rsidR="00080062" w:rsidRPr="00DE3556">
        <w:rPr>
          <w:rFonts w:ascii="Arial" w:hAnsi="Arial" w:cs="Arial"/>
        </w:rPr>
        <w:t xml:space="preserve"> and T</w:t>
      </w:r>
      <w:r w:rsidR="00080062" w:rsidRPr="00DE3556">
        <w:rPr>
          <w:rFonts w:ascii="Arial" w:hAnsi="Arial" w:cs="Arial"/>
          <w:vertAlign w:val="subscript"/>
        </w:rPr>
        <w:t>2</w:t>
      </w:r>
      <w:r w:rsidR="00080062" w:rsidRPr="00DE3556">
        <w:rPr>
          <w:rFonts w:ascii="Arial" w:hAnsi="Arial" w:cs="Arial"/>
        </w:rPr>
        <w:t xml:space="preserve">*.  These changes were then used to estimate the microsphere concentrations at the tumor using the correlations previously obtained following the </w:t>
      </w:r>
      <w:r w:rsidR="00080062" w:rsidRPr="00DE3556">
        <w:rPr>
          <w:rFonts w:ascii="Arial" w:hAnsi="Arial" w:cs="Arial"/>
          <w:i/>
        </w:rPr>
        <w:t xml:space="preserve">in vitro </w:t>
      </w:r>
      <w:r w:rsidR="00080062" w:rsidRPr="00DE3556">
        <w:rPr>
          <w:rFonts w:ascii="Arial" w:hAnsi="Arial" w:cs="Arial"/>
        </w:rPr>
        <w:t>MRI studies.</w:t>
      </w:r>
      <w:r w:rsidR="00DF0ACB" w:rsidRPr="00DE3556">
        <w:rPr>
          <w:rFonts w:ascii="Arial" w:hAnsi="Arial" w:cs="Arial"/>
        </w:rPr>
        <w:t xml:space="preserve">  The rabbits were then survived for 24 hours before sacrificing and harvesting the tissue for Prussian blue staining for iron.</w:t>
      </w:r>
    </w:p>
    <w:p w:rsidR="0055191C" w:rsidRPr="00DE3556" w:rsidRDefault="00D549E0" w:rsidP="009C25ED">
      <w:pPr>
        <w:rPr>
          <w:rFonts w:ascii="Arial" w:eastAsia="Times New Roman" w:hAnsi="Arial" w:cs="Arial"/>
          <w:b/>
          <w:bCs/>
          <w:color w:val="000000"/>
        </w:rPr>
      </w:pPr>
      <w:r w:rsidRPr="00DE3556">
        <w:rPr>
          <w:rFonts w:ascii="Arial" w:hAnsi="Arial" w:cs="Arial"/>
        </w:rPr>
        <w:t xml:space="preserve">Results: </w:t>
      </w:r>
      <w:r w:rsidR="001158F8" w:rsidRPr="00DE3556">
        <w:rPr>
          <w:rFonts w:ascii="Arial" w:hAnsi="Arial" w:cs="Arial"/>
        </w:rPr>
        <w:t xml:space="preserve">The resulting microspheres </w:t>
      </w:r>
      <w:r w:rsidR="00847707" w:rsidRPr="00DE3556">
        <w:rPr>
          <w:rFonts w:ascii="Arial" w:hAnsi="Arial" w:cs="Arial"/>
        </w:rPr>
        <w:t xml:space="preserve">were </w:t>
      </w:r>
      <w:r w:rsidR="001158F8" w:rsidRPr="00DE3556">
        <w:rPr>
          <w:rFonts w:ascii="Arial" w:hAnsi="Arial" w:cs="Arial"/>
        </w:rPr>
        <w:t xml:space="preserve">of </w:t>
      </w:r>
      <w:r w:rsidR="00ED68D9" w:rsidRPr="00DE3556">
        <w:rPr>
          <w:rFonts w:ascii="Arial" w:hAnsi="Arial" w:cs="Arial"/>
        </w:rPr>
        <w:t xml:space="preserve">an average diameter of </w:t>
      </w:r>
      <w:r w:rsidR="00080062" w:rsidRPr="00DE3556">
        <w:rPr>
          <w:rFonts w:ascii="Arial" w:hAnsi="Arial" w:cs="Arial"/>
        </w:rPr>
        <w:t>13</w:t>
      </w:r>
      <w:r w:rsidR="00ED68D9" w:rsidRPr="00DE3556">
        <w:rPr>
          <w:rFonts w:ascii="Arial" w:hAnsi="Arial" w:cs="Arial"/>
        </w:rPr>
        <w:t xml:space="preserve"> microns.  </w:t>
      </w:r>
      <w:r w:rsidR="0055191C" w:rsidRPr="00DE3556">
        <w:rPr>
          <w:rFonts w:ascii="Arial" w:eastAsia="Times New Roman" w:hAnsi="Arial" w:cs="Arial"/>
        </w:rPr>
        <w:t xml:space="preserve">Loading and release studies indicated that the weight percentage of </w:t>
      </w:r>
      <w:proofErr w:type="spellStart"/>
      <w:r w:rsidR="0055191C" w:rsidRPr="00DE3556">
        <w:rPr>
          <w:rFonts w:ascii="Arial" w:eastAsia="Times New Roman" w:hAnsi="Arial" w:cs="Arial"/>
        </w:rPr>
        <w:t>sorafenib</w:t>
      </w:r>
      <w:proofErr w:type="spellEnd"/>
      <w:r w:rsidR="0055191C" w:rsidRPr="00DE3556">
        <w:rPr>
          <w:rFonts w:ascii="Arial" w:eastAsia="Times New Roman" w:hAnsi="Arial" w:cs="Arial"/>
        </w:rPr>
        <w:t xml:space="preserve"> and iron oxide in the microspheres were 8.8% and 0.89%, respectively and that 21% and 28% of the loaded </w:t>
      </w:r>
      <w:proofErr w:type="spellStart"/>
      <w:r w:rsidR="0055191C" w:rsidRPr="00DE3556">
        <w:rPr>
          <w:rFonts w:ascii="Arial" w:eastAsia="Times New Roman" w:hAnsi="Arial" w:cs="Arial"/>
        </w:rPr>
        <w:t>sorafenib</w:t>
      </w:r>
      <w:proofErr w:type="spellEnd"/>
      <w:r w:rsidR="0055191C" w:rsidRPr="00DE3556">
        <w:rPr>
          <w:rFonts w:ascii="Arial" w:eastAsia="Times New Roman" w:hAnsi="Arial" w:cs="Arial"/>
        </w:rPr>
        <w:t xml:space="preserve"> and iron oxide released in 72 hours, respectively.   </w:t>
      </w:r>
      <w:r w:rsidR="0055191C" w:rsidRPr="00DE3556">
        <w:rPr>
          <w:rFonts w:ascii="Arial" w:eastAsia="Times New Roman" w:hAnsi="Arial" w:cs="Arial"/>
          <w:i/>
        </w:rPr>
        <w:t>In vitro</w:t>
      </w:r>
      <w:r w:rsidR="0055191C" w:rsidRPr="00DE3556">
        <w:rPr>
          <w:rFonts w:ascii="Arial" w:eastAsia="Times New Roman" w:hAnsi="Arial" w:cs="Arial"/>
        </w:rPr>
        <w:t xml:space="preserve"> MRI studies showed that microsphere c</w:t>
      </w:r>
      <w:r w:rsidR="00A962B4" w:rsidRPr="00DE3556">
        <w:rPr>
          <w:rFonts w:ascii="Arial" w:eastAsia="Times New Roman" w:hAnsi="Arial" w:cs="Arial"/>
        </w:rPr>
        <w:t xml:space="preserve">oncentration was correlated to </w:t>
      </w:r>
      <w:r w:rsidR="0055191C" w:rsidRPr="00DE3556">
        <w:rPr>
          <w:rFonts w:ascii="Arial" w:eastAsia="Times New Roman" w:hAnsi="Arial" w:cs="Arial"/>
        </w:rPr>
        <w:t>1/T</w:t>
      </w:r>
      <w:r w:rsidR="0055191C" w:rsidRPr="00DE3556">
        <w:rPr>
          <w:rFonts w:ascii="Arial" w:eastAsia="Times New Roman" w:hAnsi="Arial" w:cs="Arial"/>
          <w:vertAlign w:val="subscript"/>
        </w:rPr>
        <w:t>2</w:t>
      </w:r>
      <w:r w:rsidR="0055191C" w:rsidRPr="00DE3556">
        <w:rPr>
          <w:rFonts w:ascii="Arial" w:eastAsia="Times New Roman" w:hAnsi="Arial" w:cs="Arial"/>
        </w:rPr>
        <w:t>* via the equation</w:t>
      </w:r>
      <w:r w:rsidR="0055191C" w:rsidRPr="00DE3556">
        <w:rPr>
          <w:rFonts w:ascii="Arial" w:hAnsi="Arial" w:cs="Arial"/>
          <w:b/>
          <w:bCs/>
          <w:color w:val="000000"/>
        </w:rPr>
        <w:t xml:space="preserve">: </w:t>
      </w:r>
      <w:r w:rsidR="0055191C" w:rsidRPr="00DE3556">
        <w:rPr>
          <w:rFonts w:ascii="Arial" w:eastAsia="Times New Roman" w:hAnsi="Arial" w:cs="Arial"/>
          <w:bCs/>
          <w:color w:val="000000"/>
        </w:rPr>
        <w:t>(</w:t>
      </w:r>
      <w:r w:rsidR="0055191C" w:rsidRPr="00DE3556">
        <w:rPr>
          <w:rFonts w:ascii="Arial" w:eastAsia="Times New Roman" w:hAnsi="Arial" w:cs="Arial"/>
          <w:b/>
          <w:bCs/>
          <w:color w:val="000000"/>
        </w:rPr>
        <w:t>1/T</w:t>
      </w:r>
      <w:r w:rsidR="0055191C" w:rsidRPr="00DE3556">
        <w:rPr>
          <w:rFonts w:ascii="Arial" w:eastAsia="Times New Roman" w:hAnsi="Arial" w:cs="Arial"/>
          <w:b/>
          <w:bCs/>
          <w:color w:val="000000"/>
          <w:vertAlign w:val="subscript"/>
        </w:rPr>
        <w:t>2</w:t>
      </w:r>
      <w:r w:rsidR="0055191C" w:rsidRPr="00DE3556">
        <w:rPr>
          <w:rFonts w:ascii="Arial" w:eastAsia="Times New Roman" w:hAnsi="Arial" w:cs="Arial"/>
          <w:b/>
          <w:bCs/>
          <w:color w:val="000000"/>
        </w:rPr>
        <w:t>*)</w:t>
      </w:r>
      <w:r w:rsidR="0055191C" w:rsidRPr="00DE3556">
        <w:rPr>
          <w:rFonts w:ascii="Arial" w:eastAsia="Times New Roman" w:hAnsi="Arial" w:cs="Arial"/>
          <w:bCs/>
          <w:color w:val="000000"/>
        </w:rPr>
        <w:t xml:space="preserve"> = 0.0205(</w:t>
      </w:r>
      <w:r w:rsidR="0055191C" w:rsidRPr="00DE3556">
        <w:rPr>
          <w:rFonts w:ascii="Arial" w:eastAsia="Times New Roman" w:hAnsi="Arial" w:cs="Arial"/>
          <w:b/>
          <w:bCs/>
          <w:color w:val="000000"/>
        </w:rPr>
        <w:t>Microsphere Concentration</w:t>
      </w:r>
      <w:r w:rsidR="0055191C" w:rsidRPr="00DE3556">
        <w:rPr>
          <w:rFonts w:ascii="Arial" w:eastAsia="Times New Roman" w:hAnsi="Arial" w:cs="Arial"/>
          <w:bCs/>
          <w:color w:val="000000"/>
        </w:rPr>
        <w:t>) + 0.1262</w:t>
      </w:r>
      <w:r w:rsidR="00A962B4" w:rsidRPr="00DE3556">
        <w:rPr>
          <w:rFonts w:ascii="Arial" w:eastAsia="Times New Roman" w:hAnsi="Arial" w:cs="Arial"/>
          <w:bCs/>
          <w:color w:val="000000"/>
        </w:rPr>
        <w:t xml:space="preserve">.  For subsequent </w:t>
      </w:r>
      <w:r w:rsidR="00A962B4" w:rsidRPr="00DE3556">
        <w:rPr>
          <w:rFonts w:ascii="Arial" w:eastAsia="Times New Roman" w:hAnsi="Arial" w:cs="Arial"/>
          <w:bCs/>
          <w:i/>
          <w:color w:val="000000"/>
        </w:rPr>
        <w:t>in vivo</w:t>
      </w:r>
      <w:r w:rsidR="00DF0ACB" w:rsidRPr="00DE3556">
        <w:rPr>
          <w:rFonts w:ascii="Arial" w:eastAsia="Times New Roman" w:hAnsi="Arial" w:cs="Arial"/>
          <w:bCs/>
          <w:color w:val="000000"/>
        </w:rPr>
        <w:t xml:space="preserve"> studies, MRI indicated that the microspheres primarily depo</w:t>
      </w:r>
      <w:r w:rsidR="009C25ED" w:rsidRPr="00DE3556">
        <w:rPr>
          <w:rFonts w:ascii="Arial" w:eastAsia="Times New Roman" w:hAnsi="Arial" w:cs="Arial"/>
          <w:bCs/>
          <w:color w:val="000000"/>
        </w:rPr>
        <w:t xml:space="preserve">sited in the tumor periphery and </w:t>
      </w:r>
      <w:r w:rsidR="00A962B4" w:rsidRPr="00DE3556">
        <w:rPr>
          <w:rFonts w:ascii="Arial" w:eastAsia="Times New Roman" w:hAnsi="Arial" w:cs="Arial"/>
          <w:bCs/>
          <w:color w:val="000000"/>
        </w:rPr>
        <w:t xml:space="preserve">the estimated microsphere concentrations were </w:t>
      </w:r>
      <w:r w:rsidR="00DF0ACB" w:rsidRPr="00DE3556">
        <w:rPr>
          <w:rFonts w:ascii="Arial" w:eastAsia="Times New Roman" w:hAnsi="Arial" w:cs="Arial"/>
          <w:bCs/>
          <w:color w:val="000000"/>
        </w:rPr>
        <w:t>on average 45 mg/</w:t>
      </w:r>
      <w:proofErr w:type="spellStart"/>
      <w:r w:rsidR="00DF0ACB" w:rsidRPr="00DE3556">
        <w:rPr>
          <w:rFonts w:ascii="Arial" w:eastAsia="Times New Roman" w:hAnsi="Arial" w:cs="Arial"/>
          <w:bCs/>
          <w:color w:val="000000"/>
        </w:rPr>
        <w:t>mL</w:t>
      </w:r>
      <w:proofErr w:type="spellEnd"/>
      <w:r w:rsidR="00DF0ACB" w:rsidRPr="00DE3556">
        <w:rPr>
          <w:rFonts w:ascii="Arial" w:eastAsia="Times New Roman" w:hAnsi="Arial" w:cs="Arial"/>
          <w:bCs/>
          <w:color w:val="000000"/>
        </w:rPr>
        <w:t xml:space="preserve"> in those regions.  After the rabbits were sacrificed, Prussian blue staining confirmed proper tumor targeting and that primary microsphere deposition was at the tumor periphery.</w:t>
      </w:r>
      <w:r w:rsidR="009C25ED" w:rsidRPr="00DE3556">
        <w:rPr>
          <w:rFonts w:ascii="Arial" w:eastAsia="Times New Roman" w:hAnsi="Arial" w:cs="Arial"/>
          <w:bCs/>
          <w:color w:val="000000"/>
        </w:rPr>
        <w:t xml:space="preserve">  </w:t>
      </w:r>
    </w:p>
    <w:p w:rsidR="004B2864" w:rsidRPr="00DE3556" w:rsidRDefault="00D549E0">
      <w:pPr>
        <w:rPr>
          <w:rFonts w:ascii="Arial" w:hAnsi="Arial" w:cs="Arial"/>
        </w:rPr>
      </w:pPr>
      <w:r w:rsidRPr="00DE3556">
        <w:rPr>
          <w:rFonts w:ascii="Arial" w:hAnsi="Arial" w:cs="Arial"/>
        </w:rPr>
        <w:t xml:space="preserve">Conclusion: </w:t>
      </w:r>
      <w:r w:rsidR="009C25ED" w:rsidRPr="00DE3556">
        <w:rPr>
          <w:rFonts w:ascii="Arial" w:hAnsi="Arial" w:cs="Arial"/>
        </w:rPr>
        <w:t xml:space="preserve">The developed PLG </w:t>
      </w:r>
      <w:proofErr w:type="spellStart"/>
      <w:r w:rsidR="009C25ED" w:rsidRPr="00DE3556">
        <w:rPr>
          <w:rFonts w:ascii="Arial" w:hAnsi="Arial" w:cs="Arial"/>
        </w:rPr>
        <w:t>sorafenib</w:t>
      </w:r>
      <w:proofErr w:type="spellEnd"/>
      <w:r w:rsidR="009C25ED" w:rsidRPr="00DE3556">
        <w:rPr>
          <w:rFonts w:ascii="Arial" w:hAnsi="Arial" w:cs="Arial"/>
        </w:rPr>
        <w:t xml:space="preserve"> iron oxide microspheres allow for targeted delivery of </w:t>
      </w:r>
      <w:proofErr w:type="spellStart"/>
      <w:r w:rsidR="009C25ED" w:rsidRPr="00DE3556">
        <w:rPr>
          <w:rFonts w:ascii="Arial" w:hAnsi="Arial" w:cs="Arial"/>
        </w:rPr>
        <w:t>sorafenib</w:t>
      </w:r>
      <w:proofErr w:type="spellEnd"/>
      <w:r w:rsidR="009C25ED" w:rsidRPr="00DE3556">
        <w:rPr>
          <w:rFonts w:ascii="Arial" w:hAnsi="Arial" w:cs="Arial"/>
        </w:rPr>
        <w:t xml:space="preserve"> to liver tumors with the advantage of MRI monitoring and proper estimations of the delivered dose.  Further studies are evaluating biomarkers for tumor responses and possible correlations of the tumor responses to the microsphere doses that were effectively delivered.</w:t>
      </w:r>
    </w:p>
    <w:sectPr w:rsidR="004B2864" w:rsidRPr="00DE3556" w:rsidSect="008178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0C1A97"/>
    <w:rsid w:val="00080062"/>
    <w:rsid w:val="000C1A97"/>
    <w:rsid w:val="000F53AC"/>
    <w:rsid w:val="001158F8"/>
    <w:rsid w:val="001422EA"/>
    <w:rsid w:val="00277B12"/>
    <w:rsid w:val="00371C1A"/>
    <w:rsid w:val="003E7811"/>
    <w:rsid w:val="00487A7B"/>
    <w:rsid w:val="004B2864"/>
    <w:rsid w:val="0055191C"/>
    <w:rsid w:val="00562560"/>
    <w:rsid w:val="00571E28"/>
    <w:rsid w:val="00590540"/>
    <w:rsid w:val="005E0D5F"/>
    <w:rsid w:val="006422F7"/>
    <w:rsid w:val="006B4869"/>
    <w:rsid w:val="007823F4"/>
    <w:rsid w:val="007A4E24"/>
    <w:rsid w:val="008178DB"/>
    <w:rsid w:val="008349D5"/>
    <w:rsid w:val="00847707"/>
    <w:rsid w:val="0098760F"/>
    <w:rsid w:val="009C25ED"/>
    <w:rsid w:val="00A77DFA"/>
    <w:rsid w:val="00A817FA"/>
    <w:rsid w:val="00A962B4"/>
    <w:rsid w:val="00AB377F"/>
    <w:rsid w:val="00B6777C"/>
    <w:rsid w:val="00BE4B81"/>
    <w:rsid w:val="00D2410D"/>
    <w:rsid w:val="00D549E0"/>
    <w:rsid w:val="00D76712"/>
    <w:rsid w:val="00DE3556"/>
    <w:rsid w:val="00DF0ACB"/>
    <w:rsid w:val="00E45DE3"/>
    <w:rsid w:val="00EA7A8F"/>
    <w:rsid w:val="00ED68D9"/>
    <w:rsid w:val="00EF740A"/>
    <w:rsid w:val="00F14370"/>
    <w:rsid w:val="00F326FC"/>
    <w:rsid w:val="00F3628C"/>
    <w:rsid w:val="00F824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8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2410D"/>
    <w:rPr>
      <w:sz w:val="18"/>
      <w:szCs w:val="18"/>
    </w:rPr>
  </w:style>
  <w:style w:type="paragraph" w:styleId="CommentText">
    <w:name w:val="annotation text"/>
    <w:basedOn w:val="Normal"/>
    <w:link w:val="CommentTextChar"/>
    <w:uiPriority w:val="99"/>
    <w:semiHidden/>
    <w:unhideWhenUsed/>
    <w:rsid w:val="00D2410D"/>
    <w:pPr>
      <w:spacing w:line="240" w:lineRule="auto"/>
    </w:pPr>
    <w:rPr>
      <w:sz w:val="24"/>
      <w:szCs w:val="24"/>
    </w:rPr>
  </w:style>
  <w:style w:type="character" w:customStyle="1" w:styleId="CommentTextChar">
    <w:name w:val="Comment Text Char"/>
    <w:basedOn w:val="DefaultParagraphFont"/>
    <w:link w:val="CommentText"/>
    <w:uiPriority w:val="99"/>
    <w:semiHidden/>
    <w:rsid w:val="00D2410D"/>
    <w:rPr>
      <w:sz w:val="24"/>
      <w:szCs w:val="24"/>
    </w:rPr>
  </w:style>
  <w:style w:type="paragraph" w:styleId="CommentSubject">
    <w:name w:val="annotation subject"/>
    <w:basedOn w:val="CommentText"/>
    <w:next w:val="CommentText"/>
    <w:link w:val="CommentSubjectChar"/>
    <w:uiPriority w:val="99"/>
    <w:semiHidden/>
    <w:unhideWhenUsed/>
    <w:rsid w:val="00D2410D"/>
    <w:rPr>
      <w:b/>
      <w:bCs/>
      <w:sz w:val="20"/>
      <w:szCs w:val="20"/>
    </w:rPr>
  </w:style>
  <w:style w:type="character" w:customStyle="1" w:styleId="CommentSubjectChar">
    <w:name w:val="Comment Subject Char"/>
    <w:basedOn w:val="CommentTextChar"/>
    <w:link w:val="CommentSubject"/>
    <w:uiPriority w:val="99"/>
    <w:semiHidden/>
    <w:rsid w:val="00D2410D"/>
    <w:rPr>
      <w:b/>
      <w:bCs/>
      <w:sz w:val="20"/>
      <w:szCs w:val="20"/>
    </w:rPr>
  </w:style>
  <w:style w:type="paragraph" w:styleId="BalloonText">
    <w:name w:val="Balloon Text"/>
    <w:basedOn w:val="Normal"/>
    <w:link w:val="BalloonTextChar"/>
    <w:uiPriority w:val="99"/>
    <w:semiHidden/>
    <w:unhideWhenUsed/>
    <w:rsid w:val="00D2410D"/>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D2410D"/>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divs>
    <w:div w:id="142090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dc:creator>
  <cp:lastModifiedBy>Jeane</cp:lastModifiedBy>
  <cp:revision>3</cp:revision>
  <dcterms:created xsi:type="dcterms:W3CDTF">2014-05-05T17:11:00Z</dcterms:created>
  <dcterms:modified xsi:type="dcterms:W3CDTF">2014-05-09T13:56:00Z</dcterms:modified>
</cp:coreProperties>
</file>