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98418" w14:textId="77777777" w:rsidR="00574751" w:rsidRDefault="004F4EFB" w:rsidP="004F4EFB">
      <w:pPr>
        <w:spacing w:before="0" w:beforeAutospacing="0" w:after="0" w:afterAutospacing="0"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TITLE: </w:t>
      </w:r>
    </w:p>
    <w:p w14:paraId="152B2F24" w14:textId="00A1CC15" w:rsidR="00AF304F" w:rsidRPr="00574751" w:rsidRDefault="00184B81" w:rsidP="004F4EFB">
      <w:pPr>
        <w:spacing w:before="0" w:beforeAutospacing="0" w:after="0" w:afterAutospacing="0" w:line="360" w:lineRule="auto"/>
        <w:jc w:val="left"/>
        <w:rPr>
          <w:i/>
          <w:sz w:val="24"/>
          <w:szCs w:val="24"/>
        </w:rPr>
      </w:pPr>
      <w:r w:rsidRPr="00574751">
        <w:rPr>
          <w:sz w:val="24"/>
          <w:szCs w:val="24"/>
        </w:rPr>
        <w:t>Ligand B</w:t>
      </w:r>
      <w:r w:rsidR="00AF304F" w:rsidRPr="00574751">
        <w:rPr>
          <w:sz w:val="24"/>
          <w:szCs w:val="24"/>
        </w:rPr>
        <w:t>in</w:t>
      </w:r>
      <w:r w:rsidRPr="00574751">
        <w:rPr>
          <w:sz w:val="24"/>
          <w:szCs w:val="24"/>
        </w:rPr>
        <w:t>ding Dynamics and Directionality</w:t>
      </w:r>
      <w:r w:rsidR="00AF304F" w:rsidRPr="00574751">
        <w:rPr>
          <w:sz w:val="24"/>
          <w:szCs w:val="24"/>
        </w:rPr>
        <w:t xml:space="preserve"> in </w:t>
      </w:r>
      <w:r w:rsidR="00AF304F" w:rsidRPr="00574751">
        <w:rPr>
          <w:i/>
          <w:sz w:val="24"/>
          <w:szCs w:val="24"/>
        </w:rPr>
        <w:t>Cellulomonas fimi</w:t>
      </w:r>
      <w:r w:rsidRPr="00574751">
        <w:rPr>
          <w:sz w:val="24"/>
          <w:szCs w:val="24"/>
        </w:rPr>
        <w:t xml:space="preserve"> </w:t>
      </w:r>
      <w:r w:rsidR="004C7DF6">
        <w:rPr>
          <w:sz w:val="24"/>
          <w:szCs w:val="24"/>
        </w:rPr>
        <w:t>F</w:t>
      </w:r>
      <w:r w:rsidR="004C7DF6" w:rsidRPr="00574751">
        <w:rPr>
          <w:sz w:val="24"/>
          <w:szCs w:val="24"/>
        </w:rPr>
        <w:t xml:space="preserve">amily </w:t>
      </w:r>
      <w:r w:rsidRPr="00574751">
        <w:rPr>
          <w:sz w:val="24"/>
          <w:szCs w:val="24"/>
        </w:rPr>
        <w:t>4 Carbohydrate Binding M</w:t>
      </w:r>
      <w:r w:rsidR="00AF304F" w:rsidRPr="00574751">
        <w:rPr>
          <w:sz w:val="24"/>
          <w:szCs w:val="24"/>
        </w:rPr>
        <w:t>odules</w:t>
      </w:r>
    </w:p>
    <w:p w14:paraId="34BC3C7D" w14:textId="77777777" w:rsidR="004F4EFB" w:rsidRDefault="004F4EFB" w:rsidP="004F4EFB">
      <w:pPr>
        <w:spacing w:before="0" w:beforeAutospacing="0" w:after="0" w:afterAutospacing="0" w:line="360" w:lineRule="auto"/>
        <w:jc w:val="left"/>
        <w:rPr>
          <w:rFonts w:cstheme="majorHAnsi"/>
          <w:b/>
          <w:sz w:val="24"/>
          <w:szCs w:val="24"/>
        </w:rPr>
      </w:pPr>
    </w:p>
    <w:p w14:paraId="34695B08" w14:textId="77777777" w:rsidR="00AF304F" w:rsidRPr="00C1426C" w:rsidRDefault="004F4EFB" w:rsidP="004F4EFB">
      <w:pPr>
        <w:spacing w:before="0" w:beforeAutospacing="0" w:after="0" w:afterAutospacing="0" w:line="360" w:lineRule="auto"/>
        <w:jc w:val="left"/>
        <w:rPr>
          <w:rFonts w:cstheme="majorHAnsi"/>
          <w:sz w:val="24"/>
          <w:szCs w:val="24"/>
          <w:vertAlign w:val="superscript"/>
        </w:rPr>
      </w:pPr>
      <w:r>
        <w:rPr>
          <w:rFonts w:cstheme="majorHAnsi"/>
          <w:b/>
          <w:sz w:val="24"/>
          <w:szCs w:val="24"/>
        </w:rPr>
        <w:t xml:space="preserve">AUTHORS: </w:t>
      </w:r>
      <w:r w:rsidR="00AF304F" w:rsidRPr="00C1426C">
        <w:rPr>
          <w:rFonts w:cstheme="majorHAnsi"/>
          <w:sz w:val="24"/>
          <w:szCs w:val="24"/>
          <w:u w:val="single"/>
        </w:rPr>
        <w:t>Abhishek A. Kognole</w:t>
      </w:r>
      <w:r w:rsidR="00AF304F" w:rsidRPr="00C1426C">
        <w:rPr>
          <w:rFonts w:cstheme="majorHAnsi"/>
          <w:sz w:val="24"/>
          <w:szCs w:val="24"/>
          <w:vertAlign w:val="superscript"/>
        </w:rPr>
        <w:t>1</w:t>
      </w:r>
      <w:r w:rsidR="00AF304F" w:rsidRPr="00C1426C">
        <w:rPr>
          <w:rFonts w:cstheme="majorHAnsi"/>
          <w:sz w:val="24"/>
          <w:szCs w:val="24"/>
        </w:rPr>
        <w:t xml:space="preserve"> and Christina M. Payne</w:t>
      </w:r>
      <w:r w:rsidR="00AF304F" w:rsidRPr="00C1426C">
        <w:rPr>
          <w:rFonts w:cstheme="majorHAnsi"/>
          <w:sz w:val="24"/>
          <w:szCs w:val="24"/>
          <w:vertAlign w:val="superscript"/>
        </w:rPr>
        <w:t>1,2</w:t>
      </w:r>
      <w:bookmarkStart w:id="0" w:name="_GoBack"/>
      <w:bookmarkEnd w:id="0"/>
      <w:r w:rsidR="00AF304F" w:rsidRPr="00C1426C">
        <w:rPr>
          <w:rFonts w:cstheme="majorHAnsi"/>
          <w:sz w:val="24"/>
          <w:szCs w:val="24"/>
          <w:vertAlign w:val="superscript"/>
        </w:rPr>
        <w:t>*</w:t>
      </w:r>
    </w:p>
    <w:p w14:paraId="48D610A8" w14:textId="77777777" w:rsidR="00AF304F" w:rsidRPr="00184B81" w:rsidRDefault="00AF304F" w:rsidP="004F4EFB">
      <w:pPr>
        <w:pStyle w:val="ListParagraph"/>
        <w:numPr>
          <w:ilvl w:val="0"/>
          <w:numId w:val="1"/>
        </w:numPr>
        <w:spacing w:before="0" w:beforeAutospacing="0" w:after="0" w:afterAutospacing="0" w:line="360" w:lineRule="auto"/>
        <w:jc w:val="left"/>
        <w:rPr>
          <w:rFonts w:cstheme="majorHAnsi"/>
          <w:sz w:val="18"/>
          <w:szCs w:val="24"/>
        </w:rPr>
      </w:pPr>
      <w:r w:rsidRPr="00184B81">
        <w:rPr>
          <w:rFonts w:cstheme="majorHAnsi"/>
          <w:sz w:val="18"/>
          <w:szCs w:val="24"/>
        </w:rPr>
        <w:t>Department of Chemical and Materials Engineering, University of Kentucky, Lexington, KY 40506, USA</w:t>
      </w:r>
    </w:p>
    <w:p w14:paraId="5749D333" w14:textId="77777777" w:rsidR="00AF304F" w:rsidRPr="00184B81" w:rsidRDefault="00AF304F" w:rsidP="004F4EFB">
      <w:pPr>
        <w:pStyle w:val="ListParagraph"/>
        <w:numPr>
          <w:ilvl w:val="0"/>
          <w:numId w:val="1"/>
        </w:numPr>
        <w:spacing w:before="0" w:beforeAutospacing="0" w:after="0" w:afterAutospacing="0" w:line="360" w:lineRule="auto"/>
        <w:jc w:val="left"/>
        <w:rPr>
          <w:rFonts w:cstheme="majorHAnsi"/>
          <w:sz w:val="18"/>
          <w:szCs w:val="24"/>
        </w:rPr>
      </w:pPr>
      <w:r w:rsidRPr="00184B81">
        <w:rPr>
          <w:rFonts w:cstheme="majorHAnsi"/>
          <w:sz w:val="18"/>
          <w:szCs w:val="24"/>
        </w:rPr>
        <w:t>Center for Computational Sciences, University of Kentucky, Lexington, KY 40506, USA</w:t>
      </w:r>
    </w:p>
    <w:p w14:paraId="46382105" w14:textId="77777777" w:rsidR="00AF304F" w:rsidRDefault="00AF304F" w:rsidP="004F4EFB">
      <w:pPr>
        <w:pStyle w:val="Heading1"/>
        <w:spacing w:before="0" w:beforeAutospacing="0" w:after="0" w:afterAutospacing="0" w:line="360" w:lineRule="auto"/>
        <w:jc w:val="left"/>
        <w:rPr>
          <w:sz w:val="24"/>
          <w:szCs w:val="24"/>
        </w:rPr>
      </w:pPr>
    </w:p>
    <w:p w14:paraId="7257A052" w14:textId="77777777" w:rsidR="00AF304F" w:rsidRPr="00AF304F" w:rsidRDefault="00AF304F" w:rsidP="004F4EFB">
      <w:pPr>
        <w:pStyle w:val="Heading1"/>
        <w:spacing w:before="0" w:beforeAutospacing="0" w:after="0" w:afterAutospacing="0" w:line="360" w:lineRule="auto"/>
        <w:jc w:val="left"/>
        <w:rPr>
          <w:sz w:val="24"/>
          <w:szCs w:val="24"/>
        </w:rPr>
      </w:pPr>
      <w:r w:rsidRPr="00AF304F">
        <w:rPr>
          <w:sz w:val="24"/>
          <w:szCs w:val="24"/>
        </w:rPr>
        <w:t>Abstract</w:t>
      </w:r>
      <w:r w:rsidR="004F4EFB">
        <w:rPr>
          <w:sz w:val="24"/>
          <w:szCs w:val="24"/>
        </w:rPr>
        <w:t xml:space="preserve"> </w:t>
      </w:r>
    </w:p>
    <w:p w14:paraId="26AE4C06" w14:textId="4BA4C189" w:rsidR="00AF304F" w:rsidRPr="00AF304F" w:rsidRDefault="00AF304F" w:rsidP="004F4EFB">
      <w:pPr>
        <w:spacing w:before="0" w:beforeAutospacing="0" w:after="0" w:afterAutospacing="0" w:line="360" w:lineRule="auto"/>
        <w:rPr>
          <w:sz w:val="24"/>
          <w:szCs w:val="24"/>
        </w:rPr>
      </w:pPr>
      <w:r w:rsidRPr="00AF304F">
        <w:rPr>
          <w:rFonts w:cs="Helvetica"/>
          <w:color w:val="auto"/>
          <w:sz w:val="24"/>
          <w:szCs w:val="24"/>
        </w:rPr>
        <w:tab/>
      </w:r>
      <w:r w:rsidR="00C76F33">
        <w:rPr>
          <w:rFonts w:cs="Helvetica"/>
          <w:color w:val="auto"/>
          <w:sz w:val="24"/>
          <w:szCs w:val="24"/>
        </w:rPr>
        <w:t>Enzymatic hydrolysis of biomass is often accomplished with multi-modular cellulase enzymes consisting of a catalytic domain appended to one or more carbohydrate binding modules (CBMs) by peptide linkers. CBMs play significant roles in modulating the function of cellulases</w:t>
      </w:r>
      <w:r w:rsidR="00B22FA6">
        <w:rPr>
          <w:rFonts w:cs="Helvetica"/>
          <w:color w:val="auto"/>
          <w:sz w:val="24"/>
          <w:szCs w:val="24"/>
        </w:rPr>
        <w:t>, and u</w:t>
      </w:r>
      <w:r w:rsidR="00C76F33">
        <w:rPr>
          <w:rFonts w:cs="Helvetica"/>
          <w:color w:val="auto"/>
          <w:sz w:val="24"/>
          <w:szCs w:val="24"/>
        </w:rPr>
        <w:t>nder</w:t>
      </w:r>
      <w:r w:rsidR="003E023A">
        <w:rPr>
          <w:rFonts w:cs="Helvetica"/>
          <w:color w:val="auto"/>
          <w:sz w:val="24"/>
          <w:szCs w:val="24"/>
        </w:rPr>
        <w:t xml:space="preserve">standing the protein-carbohydrate </w:t>
      </w:r>
      <w:r w:rsidR="00D142DC">
        <w:rPr>
          <w:rFonts w:cs="Helvetica"/>
          <w:color w:val="auto"/>
          <w:sz w:val="24"/>
          <w:szCs w:val="24"/>
        </w:rPr>
        <w:t xml:space="preserve">recognition </w:t>
      </w:r>
      <w:r w:rsidR="003E023A">
        <w:rPr>
          <w:rFonts w:cs="Helvetica"/>
          <w:color w:val="auto"/>
          <w:sz w:val="24"/>
          <w:szCs w:val="24"/>
        </w:rPr>
        <w:t xml:space="preserve">mechanisms by which the </w:t>
      </w:r>
      <w:r w:rsidR="00D142DC">
        <w:rPr>
          <w:rFonts w:cs="Helvetica"/>
          <w:color w:val="auto"/>
          <w:sz w:val="24"/>
          <w:szCs w:val="24"/>
        </w:rPr>
        <w:t>CBMs</w:t>
      </w:r>
      <w:r w:rsidR="003E023A">
        <w:rPr>
          <w:rFonts w:cs="Helvetica"/>
          <w:color w:val="auto"/>
          <w:sz w:val="24"/>
          <w:szCs w:val="24"/>
        </w:rPr>
        <w:t xml:space="preserve"> selectively bind their substrate is critical to </w:t>
      </w:r>
      <w:r w:rsidR="00D142DC">
        <w:rPr>
          <w:rFonts w:cs="Helvetica"/>
          <w:color w:val="auto"/>
          <w:sz w:val="24"/>
          <w:szCs w:val="24"/>
        </w:rPr>
        <w:t xml:space="preserve">further </w:t>
      </w:r>
      <w:r w:rsidR="003E023A">
        <w:rPr>
          <w:rFonts w:cs="Helvetica"/>
          <w:color w:val="auto"/>
          <w:sz w:val="24"/>
          <w:szCs w:val="24"/>
        </w:rPr>
        <w:t xml:space="preserve">development of enhanced </w:t>
      </w:r>
      <w:r w:rsidR="00D142DC">
        <w:rPr>
          <w:rFonts w:cs="Helvetica"/>
          <w:color w:val="auto"/>
          <w:sz w:val="24"/>
          <w:szCs w:val="24"/>
        </w:rPr>
        <w:t>biomass conversion technology</w:t>
      </w:r>
      <w:r w:rsidR="003E023A">
        <w:rPr>
          <w:rFonts w:cs="Helvetica"/>
          <w:color w:val="auto"/>
          <w:sz w:val="24"/>
          <w:szCs w:val="24"/>
        </w:rPr>
        <w:t>.</w:t>
      </w:r>
      <w:r w:rsidR="00D142DC">
        <w:rPr>
          <w:rFonts w:cs="Helvetica"/>
          <w:color w:val="auto"/>
          <w:sz w:val="24"/>
          <w:szCs w:val="24"/>
        </w:rPr>
        <w:t xml:space="preserve"> </w:t>
      </w:r>
      <w:r w:rsidR="00EC0F1B">
        <w:rPr>
          <w:rFonts w:cs="Helvetica"/>
          <w:color w:val="auto"/>
          <w:sz w:val="24"/>
          <w:szCs w:val="24"/>
        </w:rPr>
        <w:t xml:space="preserve">CBMs frequently exhibit a limited range of specificity and appear </w:t>
      </w:r>
      <w:r w:rsidR="0066087E">
        <w:rPr>
          <w:rFonts w:cs="Helvetica"/>
          <w:color w:val="auto"/>
          <w:sz w:val="24"/>
          <w:szCs w:val="24"/>
        </w:rPr>
        <w:t xml:space="preserve">to </w:t>
      </w:r>
      <w:r w:rsidR="00EC0F1B">
        <w:rPr>
          <w:rFonts w:cs="Helvetica"/>
          <w:color w:val="auto"/>
          <w:sz w:val="24"/>
          <w:szCs w:val="24"/>
        </w:rPr>
        <w:t>bind polysaccharide substrates in a directional fashion</w:t>
      </w:r>
      <w:r w:rsidR="00FF06E1">
        <w:rPr>
          <w:rFonts w:cs="Helvetica"/>
          <w:color w:val="auto"/>
          <w:sz w:val="24"/>
          <w:szCs w:val="24"/>
        </w:rPr>
        <w:t xml:space="preserve"> dictated by the position of the ring oxygen</w:t>
      </w:r>
      <w:r w:rsidR="00CF1CEF">
        <w:rPr>
          <w:rFonts w:cs="Helvetica"/>
          <w:color w:val="auto"/>
          <w:sz w:val="24"/>
          <w:szCs w:val="24"/>
        </w:rPr>
        <w:t xml:space="preserve"> relative to the protein fold.</w:t>
      </w:r>
      <w:r w:rsidRPr="00AF304F">
        <w:rPr>
          <w:rFonts w:cs="Helvetica"/>
          <w:color w:val="auto"/>
          <w:sz w:val="24"/>
          <w:szCs w:val="24"/>
        </w:rPr>
        <w:t xml:space="preserve"> </w:t>
      </w:r>
      <w:r w:rsidRPr="00AF304F">
        <w:rPr>
          <w:color w:val="auto"/>
          <w:sz w:val="24"/>
          <w:szCs w:val="24"/>
        </w:rPr>
        <w:t xml:space="preserve">The family 4 CBMs of </w:t>
      </w:r>
      <w:r w:rsidR="00CF1CEF" w:rsidRPr="00AF304F">
        <w:rPr>
          <w:i/>
          <w:color w:val="auto"/>
          <w:sz w:val="24"/>
          <w:szCs w:val="24"/>
        </w:rPr>
        <w:t>Cellulomonas fimi</w:t>
      </w:r>
      <w:r w:rsidR="00CF1CEF" w:rsidRPr="00AF304F">
        <w:rPr>
          <w:color w:val="auto"/>
          <w:sz w:val="24"/>
          <w:szCs w:val="24"/>
        </w:rPr>
        <w:t xml:space="preserve"> </w:t>
      </w:r>
      <w:r w:rsidRPr="00AF304F">
        <w:rPr>
          <w:color w:val="auto"/>
          <w:sz w:val="24"/>
          <w:szCs w:val="24"/>
        </w:rPr>
        <w:t xml:space="preserve">CenC </w:t>
      </w:r>
      <w:r w:rsidRPr="00A85C10">
        <w:rPr>
          <w:color w:val="auto"/>
          <w:sz w:val="24"/>
          <w:szCs w:val="24"/>
        </w:rPr>
        <w:t>(</w:t>
      </w:r>
      <w:r w:rsidRPr="00BF7B3C">
        <w:rPr>
          <w:i/>
          <w:color w:val="auto"/>
          <w:sz w:val="24"/>
          <w:szCs w:val="24"/>
        </w:rPr>
        <w:t>Cf</w:t>
      </w:r>
      <w:r w:rsidRPr="00A85C10">
        <w:rPr>
          <w:color w:val="auto"/>
          <w:sz w:val="24"/>
          <w:szCs w:val="24"/>
        </w:rPr>
        <w:t>CBM4)</w:t>
      </w:r>
      <w:r w:rsidR="00CF1CEF">
        <w:rPr>
          <w:i/>
          <w:color w:val="auto"/>
          <w:sz w:val="24"/>
          <w:szCs w:val="24"/>
        </w:rPr>
        <w:t xml:space="preserve"> </w:t>
      </w:r>
      <w:r w:rsidR="00CF1CEF">
        <w:rPr>
          <w:color w:val="auto"/>
          <w:sz w:val="24"/>
          <w:szCs w:val="24"/>
        </w:rPr>
        <w:t>are reported to</w:t>
      </w:r>
      <w:r w:rsidRPr="00AF304F">
        <w:rPr>
          <w:i/>
          <w:color w:val="auto"/>
          <w:sz w:val="24"/>
          <w:szCs w:val="24"/>
        </w:rPr>
        <w:t xml:space="preserve"> </w:t>
      </w:r>
      <w:r w:rsidRPr="00AF304F">
        <w:rPr>
          <w:color w:val="auto"/>
          <w:sz w:val="24"/>
          <w:szCs w:val="24"/>
        </w:rPr>
        <w:t xml:space="preserve">preferentially bind </w:t>
      </w:r>
      <w:r w:rsidR="00CF1CEF">
        <w:rPr>
          <w:color w:val="auto"/>
          <w:sz w:val="24"/>
          <w:szCs w:val="24"/>
        </w:rPr>
        <w:t xml:space="preserve">both </w:t>
      </w:r>
      <w:r w:rsidRPr="00AF304F">
        <w:rPr>
          <w:color w:val="auto"/>
          <w:sz w:val="24"/>
          <w:szCs w:val="24"/>
        </w:rPr>
        <w:t>amorphous cellulose and soluble cellooligosaccharides.</w:t>
      </w:r>
      <w:r w:rsidR="00CF1CEF">
        <w:rPr>
          <w:color w:val="auto"/>
          <w:sz w:val="24"/>
          <w:szCs w:val="24"/>
        </w:rPr>
        <w:t xml:space="preserve"> However, experimental evidence suggests these CBMs may not exhibit a thermodynamic preference </w:t>
      </w:r>
      <w:r w:rsidR="006835CE">
        <w:rPr>
          <w:color w:val="auto"/>
          <w:sz w:val="24"/>
          <w:szCs w:val="24"/>
        </w:rPr>
        <w:t>for a particular</w:t>
      </w:r>
      <w:r w:rsidR="00CF1CEF">
        <w:rPr>
          <w:color w:val="auto"/>
          <w:sz w:val="24"/>
          <w:szCs w:val="24"/>
        </w:rPr>
        <w:t xml:space="preserve"> orientation</w:t>
      </w:r>
      <w:r w:rsidR="00D875E0">
        <w:rPr>
          <w:color w:val="auto"/>
          <w:sz w:val="24"/>
          <w:szCs w:val="24"/>
        </w:rPr>
        <w:t>,</w:t>
      </w:r>
      <w:r w:rsidR="00C85FC5">
        <w:rPr>
          <w:color w:val="auto"/>
          <w:sz w:val="24"/>
          <w:szCs w:val="24"/>
        </w:rPr>
        <w:t xml:space="preserve"> </w:t>
      </w:r>
      <w:r w:rsidR="00337396">
        <w:rPr>
          <w:color w:val="auto"/>
          <w:sz w:val="24"/>
          <w:szCs w:val="24"/>
        </w:rPr>
        <w:t>having significant</w:t>
      </w:r>
      <w:r w:rsidR="00C85FC5">
        <w:rPr>
          <w:color w:val="auto"/>
          <w:sz w:val="24"/>
          <w:szCs w:val="24"/>
        </w:rPr>
        <w:t xml:space="preserve"> </w:t>
      </w:r>
      <w:r w:rsidR="006835CE">
        <w:rPr>
          <w:color w:val="auto"/>
          <w:sz w:val="24"/>
          <w:szCs w:val="24"/>
        </w:rPr>
        <w:t xml:space="preserve">implications </w:t>
      </w:r>
      <w:r w:rsidR="00614247">
        <w:rPr>
          <w:color w:val="auto"/>
          <w:sz w:val="24"/>
          <w:szCs w:val="24"/>
        </w:rPr>
        <w:t>for</w:t>
      </w:r>
      <w:r w:rsidR="006835CE">
        <w:rPr>
          <w:color w:val="auto"/>
          <w:sz w:val="24"/>
          <w:szCs w:val="24"/>
        </w:rPr>
        <w:t xml:space="preserve"> </w:t>
      </w:r>
      <w:r w:rsidR="00D875E0">
        <w:rPr>
          <w:color w:val="auto"/>
          <w:sz w:val="24"/>
          <w:szCs w:val="24"/>
        </w:rPr>
        <w:t>chimeric</w:t>
      </w:r>
      <w:r w:rsidR="006835CE">
        <w:rPr>
          <w:color w:val="auto"/>
          <w:sz w:val="24"/>
          <w:szCs w:val="24"/>
        </w:rPr>
        <w:t xml:space="preserve"> cellulase applications</w:t>
      </w:r>
      <w:r w:rsidR="00D875E0">
        <w:rPr>
          <w:color w:val="auto"/>
          <w:sz w:val="24"/>
          <w:szCs w:val="24"/>
        </w:rPr>
        <w:t>.</w:t>
      </w:r>
      <w:r w:rsidR="00C85FC5">
        <w:rPr>
          <w:color w:val="auto"/>
          <w:sz w:val="24"/>
          <w:szCs w:val="24"/>
        </w:rPr>
        <w:t xml:space="preserve"> </w:t>
      </w:r>
      <w:r w:rsidR="00BC4063">
        <w:rPr>
          <w:color w:val="auto"/>
          <w:sz w:val="24"/>
          <w:szCs w:val="24"/>
        </w:rPr>
        <w:t>The apparent lack of a thermodynamic preference is counterintuitive and has been the source of some debate in the literature.</w:t>
      </w:r>
      <w:r w:rsidR="006B65BE">
        <w:rPr>
          <w:color w:val="auto"/>
          <w:sz w:val="24"/>
          <w:szCs w:val="24"/>
        </w:rPr>
        <w:t xml:space="preserve"> Here, we use molecular modeling and free energy calculations to investigate </w:t>
      </w:r>
      <w:r w:rsidR="00B22FA6">
        <w:rPr>
          <w:color w:val="auto"/>
          <w:sz w:val="24"/>
          <w:szCs w:val="24"/>
        </w:rPr>
        <w:t>protein-carbohydrate recognition mech</w:t>
      </w:r>
      <w:r w:rsidR="007D1631">
        <w:rPr>
          <w:color w:val="auto"/>
          <w:sz w:val="24"/>
          <w:szCs w:val="24"/>
        </w:rPr>
        <w:t xml:space="preserve">anisms in </w:t>
      </w:r>
      <w:r w:rsidR="007D1631" w:rsidRPr="00A85C10">
        <w:rPr>
          <w:i/>
          <w:color w:val="auto"/>
          <w:sz w:val="24"/>
          <w:szCs w:val="24"/>
        </w:rPr>
        <w:t>Cf</w:t>
      </w:r>
      <w:r w:rsidR="007D1631">
        <w:rPr>
          <w:color w:val="auto"/>
          <w:sz w:val="24"/>
          <w:szCs w:val="24"/>
        </w:rPr>
        <w:t xml:space="preserve">CBM4-1 and </w:t>
      </w:r>
      <w:r w:rsidR="007D1631" w:rsidRPr="00A85C10">
        <w:rPr>
          <w:i/>
          <w:color w:val="auto"/>
          <w:sz w:val="24"/>
          <w:szCs w:val="24"/>
        </w:rPr>
        <w:t>Cf</w:t>
      </w:r>
      <w:r w:rsidR="007D1631">
        <w:rPr>
          <w:color w:val="auto"/>
          <w:sz w:val="24"/>
          <w:szCs w:val="24"/>
        </w:rPr>
        <w:t>CBM4-2 and to elucidate the preferential ligand binding orientation.</w:t>
      </w:r>
      <w:r w:rsidR="00BC4063">
        <w:rPr>
          <w:color w:val="auto"/>
          <w:sz w:val="24"/>
          <w:szCs w:val="24"/>
        </w:rPr>
        <w:t xml:space="preserve"> </w:t>
      </w:r>
      <w:r w:rsidR="00776D12">
        <w:rPr>
          <w:rFonts w:cs="Helvetica"/>
          <w:color w:val="auto"/>
          <w:sz w:val="24"/>
          <w:szCs w:val="24"/>
        </w:rPr>
        <w:t xml:space="preserve">We evaluate four different cellopentaose orientations including that of the crystal structure and three others suggested </w:t>
      </w:r>
      <w:r w:rsidR="00C51409">
        <w:rPr>
          <w:rFonts w:cs="Helvetica"/>
          <w:color w:val="auto"/>
          <w:sz w:val="24"/>
          <w:szCs w:val="24"/>
        </w:rPr>
        <w:t>by</w:t>
      </w:r>
      <w:r w:rsidR="00776D12">
        <w:rPr>
          <w:rFonts w:cs="Helvetica"/>
          <w:color w:val="auto"/>
          <w:sz w:val="24"/>
          <w:szCs w:val="24"/>
        </w:rPr>
        <w:t xml:space="preserve"> NMR.</w:t>
      </w:r>
      <w:r w:rsidRPr="00AF304F">
        <w:rPr>
          <w:rFonts w:cs="Helvetica"/>
          <w:color w:val="auto"/>
          <w:sz w:val="24"/>
          <w:szCs w:val="24"/>
        </w:rPr>
        <w:t xml:space="preserve"> These four</w:t>
      </w:r>
      <w:r w:rsidR="00C51409">
        <w:rPr>
          <w:rFonts w:cs="Helvetica"/>
          <w:color w:val="auto"/>
          <w:sz w:val="24"/>
          <w:szCs w:val="24"/>
        </w:rPr>
        <w:t xml:space="preserve"> orientations</w:t>
      </w:r>
      <w:r w:rsidRPr="00AF304F">
        <w:rPr>
          <w:rFonts w:cs="Helvetica"/>
          <w:color w:val="auto"/>
          <w:sz w:val="24"/>
          <w:szCs w:val="24"/>
        </w:rPr>
        <w:t xml:space="preserve"> differ from each other based on position of reducing end of ligand and pyranose ring orientations</w:t>
      </w:r>
      <w:r w:rsidR="00C51409">
        <w:rPr>
          <w:rFonts w:cs="Helvetica"/>
          <w:color w:val="auto"/>
          <w:sz w:val="24"/>
          <w:szCs w:val="24"/>
        </w:rPr>
        <w:t xml:space="preserve"> relative to the core of the protein</w:t>
      </w:r>
      <w:r w:rsidRPr="00AF304F">
        <w:rPr>
          <w:rFonts w:cs="Helvetica"/>
          <w:color w:val="auto"/>
          <w:sz w:val="24"/>
          <w:szCs w:val="24"/>
        </w:rPr>
        <w:t xml:space="preserve">. </w:t>
      </w:r>
      <w:r w:rsidR="00882B91">
        <w:rPr>
          <w:rFonts w:cs="Helvetica"/>
          <w:color w:val="auto"/>
          <w:sz w:val="24"/>
          <w:szCs w:val="24"/>
        </w:rPr>
        <w:t xml:space="preserve">Using molecular dynamics, we find </w:t>
      </w:r>
      <w:r w:rsidR="00882B91">
        <w:rPr>
          <w:rFonts w:cs="Helvetica"/>
          <w:color w:val="auto"/>
          <w:sz w:val="24"/>
          <w:szCs w:val="24"/>
        </w:rPr>
        <w:lastRenderedPageBreak/>
        <w:t xml:space="preserve">that the </w:t>
      </w:r>
      <w:r w:rsidR="0051665E">
        <w:rPr>
          <w:rFonts w:cs="Helvetica"/>
          <w:color w:val="auto"/>
          <w:sz w:val="24"/>
          <w:szCs w:val="24"/>
        </w:rPr>
        <w:t xml:space="preserve">plausible </w:t>
      </w:r>
      <w:r w:rsidR="00882B91">
        <w:rPr>
          <w:rFonts w:cs="Helvetica"/>
          <w:color w:val="auto"/>
          <w:sz w:val="24"/>
          <w:szCs w:val="24"/>
        </w:rPr>
        <w:t xml:space="preserve">orientations reduce to two cases. </w:t>
      </w:r>
      <w:r w:rsidR="004471A1">
        <w:rPr>
          <w:rFonts w:cs="Helvetica"/>
          <w:color w:val="auto"/>
          <w:sz w:val="24"/>
          <w:szCs w:val="24"/>
        </w:rPr>
        <w:t>Ligand binding free energies calculated through</w:t>
      </w:r>
      <w:r w:rsidR="00882B91">
        <w:rPr>
          <w:rFonts w:cs="Helvetica"/>
          <w:color w:val="auto"/>
          <w:sz w:val="24"/>
          <w:szCs w:val="24"/>
        </w:rPr>
        <w:t xml:space="preserve"> f</w:t>
      </w:r>
      <w:r w:rsidRPr="00AF304F">
        <w:rPr>
          <w:rFonts w:cs="Helvetica"/>
          <w:color w:val="auto"/>
          <w:sz w:val="24"/>
          <w:szCs w:val="24"/>
        </w:rPr>
        <w:t xml:space="preserve">ree </w:t>
      </w:r>
      <w:r w:rsidR="00882B91">
        <w:rPr>
          <w:rFonts w:cs="Helvetica"/>
          <w:color w:val="auto"/>
          <w:sz w:val="24"/>
          <w:szCs w:val="24"/>
        </w:rPr>
        <w:t>e</w:t>
      </w:r>
      <w:r w:rsidRPr="00AF304F">
        <w:rPr>
          <w:rFonts w:cs="Helvetica"/>
          <w:color w:val="auto"/>
          <w:sz w:val="24"/>
          <w:szCs w:val="24"/>
        </w:rPr>
        <w:t xml:space="preserve">nergy </w:t>
      </w:r>
      <w:r w:rsidR="00882B91">
        <w:rPr>
          <w:rFonts w:cs="Helvetica"/>
          <w:color w:val="auto"/>
          <w:sz w:val="24"/>
          <w:szCs w:val="24"/>
        </w:rPr>
        <w:t>p</w:t>
      </w:r>
      <w:r w:rsidRPr="00AF304F">
        <w:rPr>
          <w:rFonts w:cs="Helvetica"/>
          <w:color w:val="auto"/>
          <w:sz w:val="24"/>
          <w:szCs w:val="24"/>
        </w:rPr>
        <w:t>erturbation</w:t>
      </w:r>
      <w:r w:rsidR="00882B91">
        <w:rPr>
          <w:rFonts w:cs="Helvetica"/>
          <w:color w:val="auto"/>
          <w:sz w:val="24"/>
          <w:szCs w:val="24"/>
        </w:rPr>
        <w:t xml:space="preserve"> with Hamiltonian r</w:t>
      </w:r>
      <w:r w:rsidRPr="00AF304F">
        <w:rPr>
          <w:rFonts w:cs="Helvetica"/>
          <w:color w:val="auto"/>
          <w:sz w:val="24"/>
          <w:szCs w:val="24"/>
        </w:rPr>
        <w:t>eplica</w:t>
      </w:r>
      <w:r w:rsidR="004471A1">
        <w:rPr>
          <w:rFonts w:cs="Helvetica"/>
          <w:color w:val="auto"/>
          <w:sz w:val="24"/>
          <w:szCs w:val="24"/>
        </w:rPr>
        <w:t>-</w:t>
      </w:r>
      <w:r w:rsidR="00882B91">
        <w:rPr>
          <w:rFonts w:cs="Helvetica"/>
          <w:color w:val="auto"/>
          <w:sz w:val="24"/>
          <w:szCs w:val="24"/>
        </w:rPr>
        <w:t>e</w:t>
      </w:r>
      <w:r w:rsidRPr="00AF304F">
        <w:rPr>
          <w:rFonts w:cs="Helvetica"/>
          <w:color w:val="auto"/>
          <w:sz w:val="24"/>
          <w:szCs w:val="24"/>
        </w:rPr>
        <w:t xml:space="preserve">xchange </w:t>
      </w:r>
      <w:r w:rsidR="004471A1">
        <w:rPr>
          <w:rFonts w:cs="Helvetica"/>
          <w:color w:val="auto"/>
          <w:sz w:val="24"/>
          <w:szCs w:val="24"/>
        </w:rPr>
        <w:t>m</w:t>
      </w:r>
      <w:r w:rsidRPr="00AF304F">
        <w:rPr>
          <w:rFonts w:cs="Helvetica"/>
          <w:color w:val="auto"/>
          <w:sz w:val="24"/>
          <w:szCs w:val="24"/>
        </w:rPr>
        <w:t xml:space="preserve">olecular </w:t>
      </w:r>
      <w:r w:rsidR="004471A1">
        <w:rPr>
          <w:rFonts w:cs="Helvetica"/>
          <w:color w:val="auto"/>
          <w:sz w:val="24"/>
          <w:szCs w:val="24"/>
        </w:rPr>
        <w:t>d</w:t>
      </w:r>
      <w:r w:rsidRPr="00AF304F">
        <w:rPr>
          <w:rFonts w:cs="Helvetica"/>
          <w:color w:val="auto"/>
          <w:sz w:val="24"/>
          <w:szCs w:val="24"/>
        </w:rPr>
        <w:t xml:space="preserve">ynamics </w:t>
      </w:r>
      <w:r w:rsidR="00735CDE">
        <w:rPr>
          <w:rFonts w:cs="Helvetica"/>
          <w:color w:val="auto"/>
          <w:sz w:val="24"/>
          <w:szCs w:val="24"/>
        </w:rPr>
        <w:t>indicates</w:t>
      </w:r>
      <w:r w:rsidR="00882B91">
        <w:rPr>
          <w:rFonts w:cs="Helvetica"/>
          <w:color w:val="auto"/>
          <w:sz w:val="24"/>
          <w:szCs w:val="24"/>
        </w:rPr>
        <w:t xml:space="preserve"> the two </w:t>
      </w:r>
      <w:r w:rsidR="004471A1">
        <w:rPr>
          <w:rFonts w:cs="Helvetica"/>
          <w:color w:val="auto"/>
          <w:sz w:val="24"/>
          <w:szCs w:val="24"/>
        </w:rPr>
        <w:t>orientations</w:t>
      </w:r>
      <w:r w:rsidR="00882B91">
        <w:rPr>
          <w:rFonts w:cs="Helvetica"/>
          <w:color w:val="auto"/>
          <w:sz w:val="24"/>
          <w:szCs w:val="24"/>
        </w:rPr>
        <w:t xml:space="preserve"> are </w:t>
      </w:r>
      <w:r w:rsidR="004471A1">
        <w:rPr>
          <w:rFonts w:cs="Helvetica"/>
          <w:color w:val="auto"/>
          <w:sz w:val="24"/>
          <w:szCs w:val="24"/>
        </w:rPr>
        <w:t>equally favorable</w:t>
      </w:r>
      <w:r w:rsidRPr="00AF304F">
        <w:rPr>
          <w:rFonts w:cs="Helvetica"/>
          <w:color w:val="auto"/>
          <w:sz w:val="24"/>
          <w:szCs w:val="24"/>
        </w:rPr>
        <w:t>.</w:t>
      </w:r>
      <w:r w:rsidR="004471A1">
        <w:rPr>
          <w:rFonts w:cs="Helvetica"/>
          <w:color w:val="auto"/>
          <w:sz w:val="24"/>
          <w:szCs w:val="24"/>
        </w:rPr>
        <w:t xml:space="preserve"> The calculated free energies are in excellent agreement with isothermal titration calorimetry measurements of binding free energy.</w:t>
      </w:r>
      <w:r w:rsidR="00C5771B">
        <w:rPr>
          <w:rFonts w:cs="Helvetica"/>
          <w:color w:val="auto"/>
          <w:sz w:val="24"/>
          <w:szCs w:val="24"/>
        </w:rPr>
        <w:t xml:space="preserve"> Comparison of dynamics from MD simulations further suggests</w:t>
      </w:r>
      <w:r w:rsidRPr="00AF304F">
        <w:rPr>
          <w:rFonts w:cs="Helvetica"/>
          <w:color w:val="auto"/>
          <w:sz w:val="24"/>
          <w:szCs w:val="24"/>
        </w:rPr>
        <w:t xml:space="preserve"> </w:t>
      </w:r>
      <w:r w:rsidR="00C5771B">
        <w:rPr>
          <w:rFonts w:cs="Helvetica"/>
          <w:color w:val="auto"/>
          <w:sz w:val="24"/>
          <w:szCs w:val="24"/>
        </w:rPr>
        <w:t>the approximate structural symmetry of the oligosaccharides relative to the amino acids along the binding cleft play</w:t>
      </w:r>
      <w:r w:rsidR="00692886">
        <w:rPr>
          <w:rFonts w:cs="Helvetica"/>
          <w:color w:val="auto"/>
          <w:sz w:val="24"/>
          <w:szCs w:val="24"/>
        </w:rPr>
        <w:t>s</w:t>
      </w:r>
      <w:r w:rsidR="00C5771B">
        <w:rPr>
          <w:rFonts w:cs="Helvetica"/>
          <w:color w:val="auto"/>
          <w:sz w:val="24"/>
          <w:szCs w:val="24"/>
        </w:rPr>
        <w:t xml:space="preserve"> a role in the promiscuity of ligand binding</w:t>
      </w:r>
      <w:r w:rsidRPr="00AF304F">
        <w:rPr>
          <w:rFonts w:cs="Helvetica"/>
          <w:color w:val="auto"/>
          <w:sz w:val="24"/>
          <w:szCs w:val="24"/>
        </w:rPr>
        <w:t xml:space="preserve">. </w:t>
      </w:r>
      <w:r w:rsidR="00692886">
        <w:rPr>
          <w:rFonts w:cs="Helvetica"/>
          <w:color w:val="auto"/>
          <w:sz w:val="24"/>
          <w:szCs w:val="24"/>
        </w:rPr>
        <w:t xml:space="preserve">Evaluation </w:t>
      </w:r>
      <w:r w:rsidR="00735CDE">
        <w:rPr>
          <w:rFonts w:cs="Helvetica"/>
          <w:color w:val="auto"/>
          <w:sz w:val="24"/>
          <w:szCs w:val="24"/>
        </w:rPr>
        <w:t xml:space="preserve">of </w:t>
      </w:r>
      <w:r w:rsidR="00810033">
        <w:rPr>
          <w:rFonts w:cs="Helvetica"/>
          <w:color w:val="auto"/>
          <w:sz w:val="24"/>
          <w:szCs w:val="24"/>
        </w:rPr>
        <w:t>additional</w:t>
      </w:r>
      <w:r w:rsidR="00735CDE">
        <w:rPr>
          <w:rFonts w:cs="Helvetica"/>
          <w:color w:val="auto"/>
          <w:sz w:val="24"/>
          <w:szCs w:val="24"/>
        </w:rPr>
        <w:t xml:space="preserve"> </w:t>
      </w:r>
      <w:r w:rsidR="00810033">
        <w:rPr>
          <w:rFonts w:cs="Helvetica"/>
          <w:color w:val="auto"/>
          <w:sz w:val="24"/>
          <w:szCs w:val="24"/>
        </w:rPr>
        <w:t xml:space="preserve">ligand-bound </w:t>
      </w:r>
      <w:r w:rsidR="00735CDE">
        <w:rPr>
          <w:rFonts w:cs="Helvetica"/>
          <w:color w:val="auto"/>
          <w:sz w:val="24"/>
          <w:szCs w:val="24"/>
        </w:rPr>
        <w:t>structures insinuates this phenomenon may be gener</w:t>
      </w:r>
      <w:r w:rsidR="0051665E">
        <w:rPr>
          <w:rFonts w:cs="Helvetica"/>
          <w:color w:val="auto"/>
          <w:sz w:val="24"/>
          <w:szCs w:val="24"/>
        </w:rPr>
        <w:t>ic</w:t>
      </w:r>
      <w:r w:rsidR="00735CDE">
        <w:rPr>
          <w:rFonts w:cs="Helvetica"/>
          <w:color w:val="auto"/>
          <w:sz w:val="24"/>
          <w:szCs w:val="24"/>
        </w:rPr>
        <w:t xml:space="preserve"> to </w:t>
      </w:r>
      <w:r w:rsidR="00810033">
        <w:rPr>
          <w:rFonts w:cs="Helvetica"/>
          <w:color w:val="auto"/>
          <w:sz w:val="24"/>
          <w:szCs w:val="24"/>
        </w:rPr>
        <w:t>proteins of the β-sandwich fold</w:t>
      </w:r>
      <w:r w:rsidRPr="00AF304F">
        <w:rPr>
          <w:rFonts w:cs="Helvetica"/>
          <w:color w:val="auto"/>
          <w:sz w:val="24"/>
          <w:szCs w:val="24"/>
        </w:rPr>
        <w:t>.</w:t>
      </w:r>
    </w:p>
    <w:p w14:paraId="07A73AC1" w14:textId="77777777" w:rsidR="008240C9" w:rsidRPr="00AF304F" w:rsidRDefault="008240C9" w:rsidP="00AF304F">
      <w:pPr>
        <w:spacing w:line="360" w:lineRule="auto"/>
        <w:rPr>
          <w:sz w:val="24"/>
          <w:szCs w:val="24"/>
        </w:rPr>
      </w:pPr>
    </w:p>
    <w:sectPr w:rsidR="008240C9" w:rsidRPr="00AF304F" w:rsidSect="00AF304F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altName w:val="ＭＳ ゴシック"/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E63D46"/>
    <w:multiLevelType w:val="hybridMultilevel"/>
    <w:tmpl w:val="065AF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04F"/>
    <w:rsid w:val="000E3F62"/>
    <w:rsid w:val="00184B81"/>
    <w:rsid w:val="001A4661"/>
    <w:rsid w:val="00337396"/>
    <w:rsid w:val="003E023A"/>
    <w:rsid w:val="004471A1"/>
    <w:rsid w:val="004C7DF6"/>
    <w:rsid w:val="004F4EFB"/>
    <w:rsid w:val="0051665E"/>
    <w:rsid w:val="005327E2"/>
    <w:rsid w:val="00574751"/>
    <w:rsid w:val="00614247"/>
    <w:rsid w:val="0066087E"/>
    <w:rsid w:val="006835CE"/>
    <w:rsid w:val="00692886"/>
    <w:rsid w:val="006B65BE"/>
    <w:rsid w:val="00735CDE"/>
    <w:rsid w:val="00776D12"/>
    <w:rsid w:val="007941C6"/>
    <w:rsid w:val="007D1631"/>
    <w:rsid w:val="00810033"/>
    <w:rsid w:val="008240C9"/>
    <w:rsid w:val="00882B91"/>
    <w:rsid w:val="00963F4C"/>
    <w:rsid w:val="00994B7D"/>
    <w:rsid w:val="00A1339D"/>
    <w:rsid w:val="00A16F2C"/>
    <w:rsid w:val="00A42E0D"/>
    <w:rsid w:val="00A85C10"/>
    <w:rsid w:val="00AF304F"/>
    <w:rsid w:val="00B22FA6"/>
    <w:rsid w:val="00B4771A"/>
    <w:rsid w:val="00B84C64"/>
    <w:rsid w:val="00BC4063"/>
    <w:rsid w:val="00BF7B3C"/>
    <w:rsid w:val="00C1426C"/>
    <w:rsid w:val="00C51409"/>
    <w:rsid w:val="00C5771B"/>
    <w:rsid w:val="00C76F33"/>
    <w:rsid w:val="00C85FC5"/>
    <w:rsid w:val="00CF1CEF"/>
    <w:rsid w:val="00D142DC"/>
    <w:rsid w:val="00D875E0"/>
    <w:rsid w:val="00E24693"/>
    <w:rsid w:val="00E9388A"/>
    <w:rsid w:val="00EC0F1B"/>
    <w:rsid w:val="00FF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5C6D65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04F"/>
    <w:pPr>
      <w:spacing w:before="100" w:beforeAutospacing="1" w:after="100" w:afterAutospacing="1" w:line="276" w:lineRule="auto"/>
      <w:jc w:val="both"/>
    </w:pPr>
    <w:rPr>
      <w:rFonts w:ascii="Helvetica" w:hAnsi="Helvetica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304F"/>
    <w:pPr>
      <w:outlineLvl w:val="0"/>
    </w:pPr>
    <w:rPr>
      <w:rFonts w:cs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04F"/>
    <w:rPr>
      <w:rFonts w:ascii="Helvetica" w:hAnsi="Helvetica" w:cstheme="majorHAnsi"/>
      <w:b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AF30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304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DF6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F6"/>
    <w:rPr>
      <w:rFonts w:ascii="Lucida Grande" w:hAnsi="Lucida Grande" w:cs="Lucida Grande"/>
      <w:color w:val="000000" w:themeColor="tex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1426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426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426C"/>
    <w:rPr>
      <w:rFonts w:ascii="Helvetica" w:hAnsi="Helvetica"/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26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26C"/>
    <w:rPr>
      <w:rFonts w:ascii="Helvetica" w:hAnsi="Helvetica"/>
      <w:b/>
      <w:bCs/>
      <w:color w:val="000000" w:themeColor="text1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04F"/>
    <w:pPr>
      <w:spacing w:before="100" w:beforeAutospacing="1" w:after="100" w:afterAutospacing="1" w:line="276" w:lineRule="auto"/>
      <w:jc w:val="both"/>
    </w:pPr>
    <w:rPr>
      <w:rFonts w:ascii="Helvetica" w:hAnsi="Helvetica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304F"/>
    <w:pPr>
      <w:outlineLvl w:val="0"/>
    </w:pPr>
    <w:rPr>
      <w:rFonts w:cs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04F"/>
    <w:rPr>
      <w:rFonts w:ascii="Helvetica" w:hAnsi="Helvetica" w:cstheme="majorHAnsi"/>
      <w:b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AF30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304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DF6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F6"/>
    <w:rPr>
      <w:rFonts w:ascii="Lucida Grande" w:hAnsi="Lucida Grande" w:cs="Lucida Grande"/>
      <w:color w:val="000000" w:themeColor="tex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1426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426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426C"/>
    <w:rPr>
      <w:rFonts w:ascii="Helvetica" w:hAnsi="Helvetica"/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26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26C"/>
    <w:rPr>
      <w:rFonts w:ascii="Helvetica" w:hAnsi="Helvetica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409</Words>
  <Characters>2334</Characters>
  <Application>Microsoft Macintosh Word</Application>
  <DocSecurity>0</DocSecurity>
  <Lines>19</Lines>
  <Paragraphs>5</Paragraphs>
  <ScaleCrop>false</ScaleCrop>
  <Company>University of Kentucky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Kognole</dc:creator>
  <cp:keywords/>
  <dc:description/>
  <cp:lastModifiedBy>Abhishek Kognole</cp:lastModifiedBy>
  <cp:revision>29</cp:revision>
  <cp:lastPrinted>2014-04-28T02:33:00Z</cp:lastPrinted>
  <dcterms:created xsi:type="dcterms:W3CDTF">2014-05-05T19:10:00Z</dcterms:created>
  <dcterms:modified xsi:type="dcterms:W3CDTF">2014-05-06T19:16:00Z</dcterms:modified>
</cp:coreProperties>
</file>