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665" w:rsidRDefault="00FA6665" w:rsidP="007D501B">
      <w:pPr>
        <w:jc w:val="center"/>
        <w:rPr>
          <w:rFonts w:ascii="Helvetica" w:hAnsi="Helvetica" w:cs="Helvetica"/>
        </w:rPr>
      </w:pPr>
      <w:r w:rsidRPr="00FA6665">
        <w:rPr>
          <w:rFonts w:ascii="Helvetica" w:hAnsi="Helvetica" w:cs="Helvetica"/>
          <w:sz w:val="24"/>
        </w:rPr>
        <w:t xml:space="preserve">Model-Free Control </w:t>
      </w:r>
      <w:r w:rsidR="00DC2D7D">
        <w:rPr>
          <w:rFonts w:ascii="Helvetica" w:hAnsi="Helvetica" w:cs="Helvetica"/>
          <w:sz w:val="24"/>
        </w:rPr>
        <w:t>of</w:t>
      </w:r>
      <w:r w:rsidR="00DC2D7D" w:rsidRPr="00FA6665">
        <w:rPr>
          <w:rFonts w:ascii="Helvetica" w:hAnsi="Helvetica" w:cs="Helvetica"/>
          <w:sz w:val="24"/>
        </w:rPr>
        <w:t xml:space="preserve"> </w:t>
      </w:r>
      <w:r w:rsidRPr="00FA6665">
        <w:rPr>
          <w:rFonts w:ascii="Helvetica" w:hAnsi="Helvetica" w:cs="Helvetica"/>
          <w:sz w:val="24"/>
        </w:rPr>
        <w:t>Fractional Crystallization</w:t>
      </w:r>
    </w:p>
    <w:p w:rsidR="00FA6665" w:rsidRDefault="00FA6665" w:rsidP="00FA6665">
      <w:pPr>
        <w:spacing w:line="480" w:lineRule="auto"/>
        <w:jc w:val="both"/>
        <w:rPr>
          <w:rFonts w:ascii="Helvetica" w:hAnsi="Helvetica" w:cs="Helvetica"/>
        </w:rPr>
      </w:pPr>
      <w:r w:rsidRPr="00FA6665">
        <w:rPr>
          <w:rFonts w:ascii="Helvetica" w:hAnsi="Helvetica" w:cs="Helvetica"/>
        </w:rPr>
        <w:t xml:space="preserve">The Department of Energy </w:t>
      </w:r>
      <w:r w:rsidR="00DC2D7D">
        <w:rPr>
          <w:rFonts w:ascii="Helvetica" w:hAnsi="Helvetica" w:cs="Helvetica"/>
        </w:rPr>
        <w:t>must</w:t>
      </w:r>
      <w:r w:rsidRPr="00FA6665">
        <w:rPr>
          <w:rFonts w:ascii="Helvetica" w:hAnsi="Helvetica" w:cs="Helvetica"/>
        </w:rPr>
        <w:t xml:space="preserve"> extract, vitrify, and </w:t>
      </w:r>
      <w:r w:rsidR="00DC2D7D" w:rsidRPr="00FA6665">
        <w:rPr>
          <w:rFonts w:ascii="Helvetica" w:hAnsi="Helvetica" w:cs="Helvetica"/>
        </w:rPr>
        <w:t>encas</w:t>
      </w:r>
      <w:r w:rsidR="00DC2D7D">
        <w:rPr>
          <w:rFonts w:ascii="Helvetica" w:hAnsi="Helvetica" w:cs="Helvetica"/>
        </w:rPr>
        <w:t>e</w:t>
      </w:r>
      <w:r w:rsidR="00DC2D7D" w:rsidRPr="00FA6665">
        <w:rPr>
          <w:rFonts w:ascii="Helvetica" w:hAnsi="Helvetica" w:cs="Helvetica"/>
        </w:rPr>
        <w:t xml:space="preserve"> </w:t>
      </w:r>
      <w:r w:rsidRPr="00FA6665">
        <w:rPr>
          <w:rFonts w:ascii="Helvetica" w:hAnsi="Helvetica" w:cs="Helvetica"/>
        </w:rPr>
        <w:t>the hazardous constituents contained in 56 million gallons of nuclear waste currently stored at the Hanford site in the state of Washington. Separating non-radioactive components from the waste can reduce costs and expedite cleanup efforts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fldChar w:fldCharType="begin">
          <w:fldData xml:space="preserve">PEVuZE5vdGU+PENpdGU+PEF1dGhvcj5IZXJ0aW5nPC9BdXRob3I+PFllYXI+MTk5NjwvWWVhcj48
UmVjTnVtPjEzMDwvUmVjTnVtPjxEaXNwbGF5VGV4dD4oSGVydGluZywgMTk5NjsgTmFzc2lmIGV0
IGFsLiwgMjAwOCk8L0Rpc3BsYXlUZXh0PjxyZWNvcmQ+PHJlYy1udW1iZXI+MTMwPC9yZWMtbnVt
YmVyPjxmb3JlaWduLWtleXM+PGtleSBhcHA9IkVOIiBkYi1pZD0iOXBmMHR4MndrdDJmNTZlZnB0
cHhldjAwMHh6cDJ2MHd6MmU5IiB0aW1lc3RhbXA9IjEzNjI5NjQ2MzIiPjEzMDwva2V5PjwvZm9y
ZWlnbi1rZXlzPjxyZWYtdHlwZSBuYW1lPSJHb3Zlcm5tZW50IERvY3VtZW50Ij40NjwvcmVmLXR5
cGU+PGNvbnRyaWJ1dG9ycz48YXV0aG9ycz48YXV0aG9yPkhlcnRpbmcsIEQuTC48L2F1dGhvcj48
L2F1dGhvcnM+PHNlY29uZGFyeS1hdXRob3JzPjxhdXRob3I+RW52aXJvbm1lbnRhbCBNYW5hZ2Vt
ZW50PC9hdXRob3I+PC9zZWNvbmRhcnktYXV0aG9ycz48L2NvbnRyaWJ1dG9ycz48dGl0bGVzPjx0
aXRsZT5DbGVhbiBTYWx0IFByb2Nlc3MgLSBGaW5hbCBSZXBvcnQ8L3RpdGxlPjwvdGl0bGVzPjxk
YXRlcz48eWVhcj4xOTk2PC95ZWFyPjwvZGF0ZXM+PHB1Yi1sb2NhdGlvbj5FbnZpcm9ubWVudGFs
IE1hbmFnZW1lbnQ8L3B1Yi1sb2NhdGlvbj48dXJscz48L3VybHM+PC9yZWNvcmQ+PC9DaXRlPjxD
aXRlPjxBdXRob3I+TmFzc2lmPC9BdXRob3I+PFllYXI+MjAwODwvWWVhcj48UmVjTnVtPjEyNDwv
UmVjTnVtPjxyZWNvcmQ+PHJlYy1udW1iZXI+MTI0PC9yZWMtbnVtYmVyPjxmb3JlaWduLWtleXM+
PGtleSBhcHA9IkVOIiBkYi1pZD0iOXBmMHR4MndrdDJmNTZlZnB0cHhldjAwMHh6cDJ2MHd6MmU5
IiB0aW1lc3RhbXA9IjEzNjI4NjkyODMiPjEyNDwva2V5PjwvZm9yZWlnbi1rZXlzPjxyZWYtdHlw
ZSBuYW1lPSJKb3VybmFsIEFydGljbGUiPjE3PC9yZWYtdHlwZT48Y29udHJpYnV0b3JzPjxhdXRo
b3JzPjxhdXRob3I+TmFzc2lmLCBMLjwvYXV0aG9yPjxhdXRob3I+RHVtb250LCBHLjwvYXV0aG9y
PjxhdXRob3I+QWx5c291cmksIEguPC9hdXRob3I+PGF1dGhvcj5Sb3Vzc2VhdSwgUi4gVy48L2F1
dGhvcj48L2F1dGhvcnM+PC9jb250cmlidXRvcnM+PGF1dGgtYWRkcmVzcz5bTmFzc2lmLCBMYXVy
ZW50fER1bW9udCwgR2VvcmdlfEFseXNvdXJpLCBIYXRlbXxSb3Vzc2VhdSwgUm9uYWxkIFcuXSBH
ZW9yZ2lhIEluc3QgVGVjaG5vbCwgU2NoIENoZW0gJmFtcDsgQmlvbW9sIEVuZ24sIEF0bGFudGEs
IEdBIDMwMzMyIFVTQS4mI3hEO1JvdXNzZWF1LCBSVyAocmVwcmludCBhdXRob3IpLCBHZW9yZ2lh
IEluc3QgVGVjaG5vbCwgU2NoIENoZW0gJmFtcDsgQmlvbW9sIEVuZ24sIEF0bGFudGEsIEdBIDMw
MzMyIFVTQS4mI3hEO3JvbmFsZC5yb3Vzc2VhdUBjaGJlLmdhdGVjaC5lZHU8L2F1dGgtYWRkcmVz
cz48dGl0bGVzPjx0aXRsZT5QcmV0cmVhdG1lbnQgb2YgSGFuZm9yZCBNZWRpdW0tQ3VyaWUgV2Fz
dGVzIGJ5IEZyYWN0aW9uYWwgQ3J5c3RhbGxpemF0aW9uPC90aXRsZT48c2Vjb25kYXJ5LXRpdGxl
PkVudmlyb25tZW50YWwgU2NpZW5jZSAmYW1wOyBUZWNobm9sb2d5PC9zZWNvbmRhcnktdGl0bGU+
PGFsdC10aXRsZT5FbnZpcm9uLiBTY2kuIFRlY2hub2wuPC9hbHQtdGl0bGU+PC90aXRsZXM+PHBl
cmlvZGljYWw+PGZ1bGwtdGl0bGU+RW52aXJvbm1lbnRhbCBTY2llbmNlICZhbXA7IFRlY2hub2xv
Z3k8L2Z1bGwtdGl0bGU+PGFiYnItMT5FbnZpcm9uLiBTY2kuIFRlY2hub2wuPC9hYmJyLTE+PC9w
ZXJpb2RpY2FsPjxhbHQtcGVyaW9kaWNhbD48ZnVsbC10aXRsZT5FbnZpcm9ubWVudGFsIFNjaWVu
Y2UgJmFtcDsgVGVjaG5vbG9neTwvZnVsbC10aXRsZT48YWJici0xPkVudmlyb24uIFNjaS4gVGVj
aG5vbC48L2FiYnItMT48L2FsdC1wZXJpb2RpY2FsPjxwYWdlcz40OTQwLTQ5NDU8L3BhZ2VzPjx2
b2x1bWU+NDI8L3ZvbHVtZT48bnVtYmVyPjEzPC9udW1iZXI+PGRhdGVzPjx5ZWFyPjIwMDg8L3ll
YXI+PHB1Yi1kYXRlcz48ZGF0ZT5KdWw8L2RhdGU+PC9wdWItZGF0ZXM+PC9kYXRlcz48aXNibj4w
MDEzLTkzNlg8L2lzYm4+PGFjY2Vzc2lvbi1udW0+V09TOjAwMDI1NzIyMDYwMDA1NjwvYWNjZXNz
aW9uLW51bT48d29yay10eXBlPkFydGljbGU8L3dvcmstdHlwZT48dXJscz48cmVsYXRlZC11cmxz
Pjx1cmw+Jmx0O0dvIHRvIElTSSZndDs6Ly9XT1M6MDAwMjU3MjIwNjAwMDU2PC91cmw+PC9yZWxh
dGVkLXVybHM+PC91cmxzPjxlbGVjdHJvbmljLXJlc291cmNlLW51bT4xMC4xMDIxL2VzNzAzMTY5
NjwvZWxlY3Ryb25pYy1yZXNvdXJjZS1udW0+PGxhbmd1YWdlPkVuZ2xpc2g8L2xhbmd1YWdlPjwv
cmVjb3JkPjwvQ2l0ZT48L0VuZE5vdGU+AG==
</w:fldData>
        </w:fldChar>
      </w:r>
      <w:r>
        <w:rPr>
          <w:rFonts w:ascii="Helvetica" w:hAnsi="Helvetica" w:cs="Helvetica"/>
        </w:rPr>
        <w:instrText xml:space="preserve"> ADDIN EN.CITE </w:instrText>
      </w:r>
      <w:r>
        <w:rPr>
          <w:rFonts w:ascii="Helvetica" w:hAnsi="Helvetica" w:cs="Helvetica"/>
        </w:rPr>
        <w:fldChar w:fldCharType="begin">
          <w:fldData xml:space="preserve">PEVuZE5vdGU+PENpdGU+PEF1dGhvcj5IZXJ0aW5nPC9BdXRob3I+PFllYXI+MTk5NjwvWWVhcj48
UmVjTnVtPjEzMDwvUmVjTnVtPjxEaXNwbGF5VGV4dD4oSGVydGluZywgMTk5NjsgTmFzc2lmIGV0
IGFsLiwgMjAwOCk8L0Rpc3BsYXlUZXh0PjxyZWNvcmQ+PHJlYy1udW1iZXI+MTMwPC9yZWMtbnVt
YmVyPjxmb3JlaWduLWtleXM+PGtleSBhcHA9IkVOIiBkYi1pZD0iOXBmMHR4MndrdDJmNTZlZnB0
cHhldjAwMHh6cDJ2MHd6MmU5IiB0aW1lc3RhbXA9IjEzNjI5NjQ2MzIiPjEzMDwva2V5PjwvZm9y
ZWlnbi1rZXlzPjxyZWYtdHlwZSBuYW1lPSJHb3Zlcm5tZW50IERvY3VtZW50Ij40NjwvcmVmLXR5
cGU+PGNvbnRyaWJ1dG9ycz48YXV0aG9ycz48YXV0aG9yPkhlcnRpbmcsIEQuTC48L2F1dGhvcj48
L2F1dGhvcnM+PHNlY29uZGFyeS1hdXRob3JzPjxhdXRob3I+RW52aXJvbm1lbnRhbCBNYW5hZ2Vt
ZW50PC9hdXRob3I+PC9zZWNvbmRhcnktYXV0aG9ycz48L2NvbnRyaWJ1dG9ycz48dGl0bGVzPjx0
aXRsZT5DbGVhbiBTYWx0IFByb2Nlc3MgLSBGaW5hbCBSZXBvcnQ8L3RpdGxlPjwvdGl0bGVzPjxk
YXRlcz48eWVhcj4xOTk2PC95ZWFyPjwvZGF0ZXM+PHB1Yi1sb2NhdGlvbj5FbnZpcm9ubWVudGFs
IE1hbmFnZW1lbnQ8L3B1Yi1sb2NhdGlvbj48dXJscz48L3VybHM+PC9yZWNvcmQ+PC9DaXRlPjxD
aXRlPjxBdXRob3I+TmFzc2lmPC9BdXRob3I+PFllYXI+MjAwODwvWWVhcj48UmVjTnVtPjEyNDwv
UmVjTnVtPjxyZWNvcmQ+PHJlYy1udW1iZXI+MTI0PC9yZWMtbnVtYmVyPjxmb3JlaWduLWtleXM+
PGtleSBhcHA9IkVOIiBkYi1pZD0iOXBmMHR4MndrdDJmNTZlZnB0cHhldjAwMHh6cDJ2MHd6MmU5
IiB0aW1lc3RhbXA9IjEzNjI4NjkyODMiPjEyNDwva2V5PjwvZm9yZWlnbi1rZXlzPjxyZWYtdHlw
ZSBuYW1lPSJKb3VybmFsIEFydGljbGUiPjE3PC9yZWYtdHlwZT48Y29udHJpYnV0b3JzPjxhdXRo
b3JzPjxhdXRob3I+TmFzc2lmLCBMLjwvYXV0aG9yPjxhdXRob3I+RHVtb250LCBHLjwvYXV0aG9y
PjxhdXRob3I+QWx5c291cmksIEguPC9hdXRob3I+PGF1dGhvcj5Sb3Vzc2VhdSwgUi4gVy48L2F1
dGhvcj48L2F1dGhvcnM+PC9jb250cmlidXRvcnM+PGF1dGgtYWRkcmVzcz5bTmFzc2lmLCBMYXVy
ZW50fER1bW9udCwgR2VvcmdlfEFseXNvdXJpLCBIYXRlbXxSb3Vzc2VhdSwgUm9uYWxkIFcuXSBH
ZW9yZ2lhIEluc3QgVGVjaG5vbCwgU2NoIENoZW0gJmFtcDsgQmlvbW9sIEVuZ24sIEF0bGFudGEs
IEdBIDMwMzMyIFVTQS4mI3hEO1JvdXNzZWF1LCBSVyAocmVwcmludCBhdXRob3IpLCBHZW9yZ2lh
IEluc3QgVGVjaG5vbCwgU2NoIENoZW0gJmFtcDsgQmlvbW9sIEVuZ24sIEF0bGFudGEsIEdBIDMw
MzMyIFVTQS4mI3hEO3JvbmFsZC5yb3Vzc2VhdUBjaGJlLmdhdGVjaC5lZHU8L2F1dGgtYWRkcmVz
cz48dGl0bGVzPjx0aXRsZT5QcmV0cmVhdG1lbnQgb2YgSGFuZm9yZCBNZWRpdW0tQ3VyaWUgV2Fz
dGVzIGJ5IEZyYWN0aW9uYWwgQ3J5c3RhbGxpemF0aW9uPC90aXRsZT48c2Vjb25kYXJ5LXRpdGxl
PkVudmlyb25tZW50YWwgU2NpZW5jZSAmYW1wOyBUZWNobm9sb2d5PC9zZWNvbmRhcnktdGl0bGU+
PGFsdC10aXRsZT5FbnZpcm9uLiBTY2kuIFRlY2hub2wuPC9hbHQtdGl0bGU+PC90aXRsZXM+PHBl
cmlvZGljYWw+PGZ1bGwtdGl0bGU+RW52aXJvbm1lbnRhbCBTY2llbmNlICZhbXA7IFRlY2hub2xv
Z3k8L2Z1bGwtdGl0bGU+PGFiYnItMT5FbnZpcm9uLiBTY2kuIFRlY2hub2wuPC9hYmJyLTE+PC9w
ZXJpb2RpY2FsPjxhbHQtcGVyaW9kaWNhbD48ZnVsbC10aXRsZT5FbnZpcm9ubWVudGFsIFNjaWVu
Y2UgJmFtcDsgVGVjaG5vbG9neTwvZnVsbC10aXRsZT48YWJici0xPkVudmlyb24uIFNjaS4gVGVj
aG5vbC48L2FiYnItMT48L2FsdC1wZXJpb2RpY2FsPjxwYWdlcz40OTQwLTQ5NDU8L3BhZ2VzPjx2
b2x1bWU+NDI8L3ZvbHVtZT48bnVtYmVyPjEzPC9udW1iZXI+PGRhdGVzPjx5ZWFyPjIwMDg8L3ll
YXI+PHB1Yi1kYXRlcz48ZGF0ZT5KdWw8L2RhdGU+PC9wdWItZGF0ZXM+PC9kYXRlcz48aXNibj4w
MDEzLTkzNlg8L2lzYm4+PGFjY2Vzc2lvbi1udW0+V09TOjAwMDI1NzIyMDYwMDA1NjwvYWNjZXNz
aW9uLW51bT48d29yay10eXBlPkFydGljbGU8L3dvcmstdHlwZT48dXJscz48cmVsYXRlZC11cmxz
Pjx1cmw+Jmx0O0dvIHRvIElTSSZndDs6Ly9XT1M6MDAwMjU3MjIwNjAwMDU2PC91cmw+PC9yZWxh
dGVkLXVybHM+PC91cmxzPjxlbGVjdHJvbmljLXJlc291cmNlLW51bT4xMC4xMDIxL2VzNzAzMTY5
NjwvZWxlY3Ryb25pYy1yZXNvdXJjZS1udW0+PGxhbmd1YWdlPkVuZ2xpc2g8L2xhbmd1YWdlPjwv
cmVjb3JkPjwvQ2l0ZT48L0VuZE5vdGU+AG==
</w:fldData>
        </w:fldChar>
      </w:r>
      <w:r>
        <w:rPr>
          <w:rFonts w:ascii="Helvetica" w:hAnsi="Helvetica" w:cs="Helvetica"/>
        </w:rPr>
        <w:instrText xml:space="preserve"> ADDIN EN.CITE.DATA </w:instrText>
      </w:r>
      <w:r>
        <w:rPr>
          <w:rFonts w:ascii="Helvetica" w:hAnsi="Helvetica" w:cs="Helvetica"/>
        </w:rPr>
      </w:r>
      <w:r>
        <w:rPr>
          <w:rFonts w:ascii="Helvetica" w:hAnsi="Helvetica" w:cs="Helvetica"/>
        </w:rPr>
        <w:fldChar w:fldCharType="end"/>
      </w:r>
      <w:r>
        <w:rPr>
          <w:rFonts w:ascii="Helvetica" w:hAnsi="Helvetica" w:cs="Helvetica"/>
        </w:rPr>
      </w:r>
      <w:r>
        <w:rPr>
          <w:rFonts w:ascii="Helvetica" w:hAnsi="Helvetica" w:cs="Helvetica"/>
        </w:rPr>
        <w:fldChar w:fldCharType="separate"/>
      </w:r>
      <w:r>
        <w:rPr>
          <w:rFonts w:ascii="Helvetica" w:hAnsi="Helvetica" w:cs="Helvetica"/>
          <w:noProof/>
        </w:rPr>
        <w:t>(</w:t>
      </w:r>
      <w:hyperlink w:anchor="_ENREF_2" w:tooltip="Herting, 1996 #130" w:history="1">
        <w:r w:rsidR="00F24C67">
          <w:rPr>
            <w:rFonts w:ascii="Helvetica" w:hAnsi="Helvetica" w:cs="Helvetica"/>
            <w:noProof/>
          </w:rPr>
          <w:t>Herting, 1996</w:t>
        </w:r>
      </w:hyperlink>
      <w:r>
        <w:rPr>
          <w:rFonts w:ascii="Helvetica" w:hAnsi="Helvetica" w:cs="Helvetica"/>
          <w:noProof/>
        </w:rPr>
        <w:t xml:space="preserve">; </w:t>
      </w:r>
      <w:hyperlink w:anchor="_ENREF_4" w:tooltip="Nassif, 2008 #124" w:history="1">
        <w:r w:rsidR="00F24C67">
          <w:rPr>
            <w:rFonts w:ascii="Helvetica" w:hAnsi="Helvetica" w:cs="Helvetica"/>
            <w:noProof/>
          </w:rPr>
          <w:t>Nassif et al., 2008</w:t>
        </w:r>
      </w:hyperlink>
      <w:r>
        <w:rPr>
          <w:rFonts w:ascii="Helvetica" w:hAnsi="Helvetica" w:cs="Helvetica"/>
          <w:noProof/>
        </w:rPr>
        <w:t>)</w:t>
      </w:r>
      <w:r>
        <w:rPr>
          <w:rFonts w:ascii="Helvetica" w:hAnsi="Helvetica" w:cs="Helvetica"/>
        </w:rPr>
        <w:fldChar w:fldCharType="end"/>
      </w:r>
      <w:r w:rsidRPr="00FA6665">
        <w:rPr>
          <w:rFonts w:ascii="Helvetica" w:hAnsi="Helvetica" w:cs="Helvetica"/>
        </w:rPr>
        <w:t xml:space="preserve">. In particular, sodium salts—which are non-radioactive and innocuous by themselves—make up a significant portion of the unprocessed waste and potentially </w:t>
      </w:r>
      <w:r w:rsidR="00DC2D7D" w:rsidRPr="00FA6665">
        <w:rPr>
          <w:rFonts w:ascii="Helvetica" w:hAnsi="Helvetica" w:cs="Helvetica"/>
        </w:rPr>
        <w:t xml:space="preserve">can </w:t>
      </w:r>
      <w:r w:rsidRPr="00FA6665">
        <w:rPr>
          <w:rFonts w:ascii="Helvetica" w:hAnsi="Helvetica" w:cs="Helvetica"/>
        </w:rPr>
        <w:t>be removed with a crystallization-separation operation</w:t>
      </w:r>
      <w:r w:rsidR="00DC2D7D">
        <w:rPr>
          <w:rFonts w:ascii="Helvetica" w:hAnsi="Helvetica" w:cs="Helvetica"/>
        </w:rPr>
        <w:t xml:space="preserve"> and treated as low-activity waste</w:t>
      </w:r>
      <w:r w:rsidRPr="00FA6665">
        <w:rPr>
          <w:rFonts w:ascii="Helvetica" w:hAnsi="Helvetica" w:cs="Helvetica"/>
        </w:rPr>
        <w:t xml:space="preserve">. However, as nuclear waste solutions contain many solutes that can crystallize, methods for reliably monitoring and controlling </w:t>
      </w:r>
      <w:r w:rsidRPr="00FA6665">
        <w:rPr>
          <w:rFonts w:ascii="Helvetica" w:hAnsi="Helvetica" w:cs="Helvetica"/>
          <w:i/>
        </w:rPr>
        <w:t>multi</w:t>
      </w:r>
      <w:r w:rsidR="002070B6">
        <w:rPr>
          <w:rFonts w:ascii="Helvetica" w:hAnsi="Helvetica" w:cs="Helvetica"/>
          <w:i/>
        </w:rPr>
        <w:t xml:space="preserve">-solute </w:t>
      </w:r>
      <w:r w:rsidRPr="00FA6665">
        <w:rPr>
          <w:rFonts w:ascii="Helvetica" w:hAnsi="Helvetica" w:cs="Helvetica"/>
        </w:rPr>
        <w:t>crystallizations are needed.</w:t>
      </w:r>
      <w:r>
        <w:rPr>
          <w:rFonts w:ascii="Helvetica" w:hAnsi="Helvetica" w:cs="Helvetica"/>
        </w:rPr>
        <w:t xml:space="preserve"> </w:t>
      </w:r>
      <w:r w:rsidR="00DC2D7D">
        <w:rPr>
          <w:rFonts w:ascii="Helvetica" w:hAnsi="Helvetica" w:cs="Helvetica"/>
        </w:rPr>
        <w:t xml:space="preserve">The operation in such </w:t>
      </w:r>
      <w:r w:rsidR="007D501B">
        <w:rPr>
          <w:rFonts w:ascii="Helvetica" w:hAnsi="Helvetica" w:cs="Helvetica"/>
        </w:rPr>
        <w:t xml:space="preserve">a </w:t>
      </w:r>
      <w:r w:rsidR="00DC2D7D">
        <w:rPr>
          <w:rFonts w:ascii="Helvetica" w:hAnsi="Helvetica" w:cs="Helvetica"/>
        </w:rPr>
        <w:t xml:space="preserve">circumstance </w:t>
      </w:r>
      <w:r w:rsidR="007D501B">
        <w:rPr>
          <w:rFonts w:ascii="Helvetica" w:hAnsi="Helvetica" w:cs="Helvetica"/>
        </w:rPr>
        <w:t xml:space="preserve">is </w:t>
      </w:r>
      <w:r w:rsidR="00DC2D7D">
        <w:rPr>
          <w:rFonts w:ascii="Helvetica" w:hAnsi="Helvetica" w:cs="Helvetica"/>
        </w:rPr>
        <w:t>referred to as fractional crystallization</w:t>
      </w:r>
      <w:r w:rsidR="007D501B">
        <w:rPr>
          <w:rFonts w:ascii="Helvetica" w:hAnsi="Helvetica" w:cs="Helvetica"/>
        </w:rPr>
        <w:t>.</w:t>
      </w:r>
    </w:p>
    <w:p w:rsidR="00FA6665" w:rsidRDefault="00FA6665" w:rsidP="00FA6665">
      <w:pPr>
        <w:spacing w:line="480" w:lineRule="auto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In this work we explore the use of process analytic</w:t>
      </w:r>
      <w:r w:rsidR="00DC2D7D">
        <w:rPr>
          <w:rFonts w:ascii="Helvetica" w:hAnsi="Helvetica" w:cs="Helvetica"/>
        </w:rPr>
        <w:t>al</w:t>
      </w:r>
      <w:r>
        <w:rPr>
          <w:rFonts w:ascii="Helvetica" w:hAnsi="Helvetica" w:cs="Helvetica"/>
        </w:rPr>
        <w:t xml:space="preserve"> measurement techniques to implement model-free methods for controlling fractional crystallizations </w:t>
      </w:r>
      <w:r w:rsidR="007D501B">
        <w:rPr>
          <w:rFonts w:ascii="Helvetica" w:hAnsi="Helvetica" w:cs="Helvetica"/>
        </w:rPr>
        <w:t>of a model two-solute system (sodium nitrate and sodiu</w:t>
      </w:r>
      <w:bookmarkStart w:id="0" w:name="_GoBack"/>
      <w:bookmarkEnd w:id="0"/>
      <w:r w:rsidR="007D501B">
        <w:rPr>
          <w:rFonts w:ascii="Helvetica" w:hAnsi="Helvetica" w:cs="Helvetica"/>
        </w:rPr>
        <w:t xml:space="preserve">m sulfate in water) </w:t>
      </w:r>
      <w:r>
        <w:rPr>
          <w:rFonts w:ascii="Helvetica" w:hAnsi="Helvetica" w:cs="Helvetica"/>
        </w:rPr>
        <w:t xml:space="preserve">with the objective of improving the crystal size distribution to facilitate separation. </w:t>
      </w:r>
      <w:r w:rsidR="0096036C">
        <w:rPr>
          <w:rFonts w:ascii="Helvetica" w:hAnsi="Helvetica" w:cs="Helvetica"/>
        </w:rPr>
        <w:t>M</w:t>
      </w:r>
      <w:r w:rsidR="00F24C67">
        <w:rPr>
          <w:rFonts w:ascii="Helvetica" w:hAnsi="Helvetica" w:cs="Helvetica"/>
        </w:rPr>
        <w:t xml:space="preserve">odel-free </w:t>
      </w:r>
      <w:r>
        <w:rPr>
          <w:rFonts w:ascii="Helvetica" w:hAnsi="Helvetica" w:cs="Helvetica"/>
        </w:rPr>
        <w:t>control strategies</w:t>
      </w:r>
      <w:r w:rsidR="00F24C67">
        <w:rPr>
          <w:rFonts w:ascii="Helvetica" w:hAnsi="Helvetica" w:cs="Helvetica"/>
        </w:rPr>
        <w:t xml:space="preserve">—such as supersaturation or concentration control </w:t>
      </w:r>
      <w:r w:rsidR="00F24C67">
        <w:rPr>
          <w:rFonts w:ascii="Helvetica" w:hAnsi="Helvetica" w:cs="Helvetica"/>
        </w:rPr>
        <w:fldChar w:fldCharType="begin">
          <w:fldData xml:space="preserve">PEVuZE5vdGU+PENpdGU+PEF1dGhvcj5GdWppd2FyYTwvQXV0aG9yPjxZZWFyPjIwMDU8L1llYXI+
PFJlY051bT44PC9SZWNOdW0+PERpc3BsYXlUZXh0PihGdWppd2FyYSBldCBhbC4sIDIwMDUpPC9E
aXNwbGF5VGV4dD48cmVjb3JkPjxyZWMtbnVtYmVyPjg8L3JlYy1udW1iZXI+PGZvcmVpZ24ta2V5
cz48a2V5IGFwcD0iRU4iIGRiLWlkPSI5cGYwdHgyd2t0MmY1NmVmcHRweGV2MDAweHpwMnYwd3oy
ZTkiIHRpbWVzdGFtcD0iMTM2Mjg2OTI1MCI+ODwva2V5PjwvZm9yZWlnbi1rZXlzPjxyZWYtdHlw
ZSBuYW1lPSJKb3VybmFsIEFydGljbGUiPjE3PC9yZWYtdHlwZT48Y29udHJpYnV0b3JzPjxhdXRo
b3JzPjxhdXRob3I+RnVqaXdhcmEsIE0uPC9hdXRob3I+PGF1dGhvcj5OYWd5LCBaLiBLLjwvYXV0
aG9yPjxhdXRob3I+Q2hldywgSi4gVy48L2F1dGhvcj48YXV0aG9yPkJyYWF0eiwgUi4gRC48L2F1
dGhvcj48L2F1dGhvcnM+PC9jb250cmlidXRvcnM+PGF1dGgtYWRkcmVzcz5Vbml2IElsbGlub2lz
LCBEZXB0IENoZW0gJmFtcDsgQmlvbW9sIEVuZ24sIFVyYmFuYSwgSUwgNjE4MDEgVVNBLiYjeEQ7
QnJhYXR6LCBSRCAocmVwcmludCBhdXRob3IpLCBVbml2IElsbGlub2lzLCBEZXB0IENoZW0gJmFt
cDsgQmlvbW9sIEVuZ24sIDkzIFJvZ2VyIEFkYW1zIExhYiBCb3ggQy0zLDYwMCBTIE1hdGhld3Mg
QXZlLCBVcmJhbmEsIElMIDYxODAxIFVTQSYjeEQ7YnJhYXR6QHVpdWMuZWR1PC9hdXRoLWFkZHJl
c3M+PHRpdGxlcz48dGl0bGU+Rmlyc3QtUHJpbmNpcGxlcyBhbmQgRGlyZWN0IERlc2lnbiBBcHBy
b2FjaGVzIGZvciB0aGUgQ29udHJvbCBvZiBQaGFybWFjZXV0aWNhbCBDcnlzdGFsbGl6YXRpb248
L3RpdGxlPjxzZWNvbmRhcnktdGl0bGU+Sm91cm5hbCBvZiBQcm9jZXNzIENvbnRyb2w8L3NlY29u
ZGFyeS10aXRsZT48YWx0LXRpdGxlPkouIFByb2Nlc3MgQ29udHJvbDwvYWx0LXRpdGxlPjwvdGl0
bGVzPjxwZXJpb2RpY2FsPjxmdWxsLXRpdGxlPkpvdXJuYWwgb2YgUHJvY2VzcyBDb250cm9sPC9m
dWxsLXRpdGxlPjxhYmJyLTE+Si4gUHJvY2VzcyBDb250cm9sPC9hYmJyLTE+PC9wZXJpb2RpY2Fs
PjxhbHQtcGVyaW9kaWNhbD48ZnVsbC10aXRsZT5Kb3VybmFsIG9mIFByb2Nlc3MgQ29udHJvbDwv
ZnVsbC10aXRsZT48YWJici0xPkouIFByb2Nlc3MgQ29udHJvbDwvYWJici0xPjwvYWx0LXBlcmlv
ZGljYWw+PHBhZ2VzPjQ5My01MDQ8L3BhZ2VzPjx2b2x1bWU+MTU8L3ZvbHVtZT48bnVtYmVyPjU8
L251bWJlcj48a2V5d29yZHM+PGtleXdvcmQ+cGhhcm1hY2V1dGljYWxzIHByb2Nlc3Nlczwva2V5
d29yZD48a2V5d29yZD5pbmR1c3RyaWFsIGNyeXN0YWxsaXphdGlvbjwva2V5d29yZD48a2V5d29y
ZD5vcHRpbWFsIGNvbnRyb2w8L2tleXdvcmQ+PGtleXdvcmQ+QVRSLUZUSVIgU1BFQ1RST1NDT1BZ
PC9rZXl3b3JkPjxrZXl3b3JkPlBBUlRJQ0xFLVNJWkUgRElTVFJJQlVUSU9OPC9rZXl3b3JkPjxr
ZXl3b3JkPlNJVFU8L2tleXdvcmQ+PGtleXdvcmQ+UkFNQU4tU1BFQ1RST1NDT1BZPC9rZXl3b3Jk
PjxrZXl3b3JkPklOLVNJVFU8L2tleXdvcmQ+PGtleXdvcmQ+TVVMVElESU1FTlNJT05BTCBDUllT
VEFMTElaQVRJT048L2tleXdvcmQ+PGtleXdvcmQ+QkFUQ0g8L2tleXdvcmQ+PGtleXdvcmQ+Q1JZ
U1RBTExJWkFUSU9OPC9rZXl3b3JkPjxrZXl3b3JkPklORlJBUkVELVNQRUNUUk9TQ09QWTwva2V5
d29yZD48a2V5d29yZD5MQVNFUiBCQUNLU0NBVFRFUklORzwva2V5d29yZD48a2V5d29yZD5DT05D
RU5UUkFUSU9OIFBSRURJQ1RJT048L2tleXdvcmQ+PGtleXdvcmQ+TU9ERUwgSURFTlRJRklDQVRJ
T048L2tleXdvcmQ+PC9rZXl3b3Jkcz48ZGF0ZXM+PHllYXI+MjAwNTwveWVhcj48cHViLWRhdGVz
PjxkYXRlPkF1ZzwvZGF0ZT48L3B1Yi1kYXRlcz48L2RhdGVzPjxpc2JuPjA5NTktMTUyNDwvaXNi
bj48YWNjZXNzaW9uLW51bT5XT1M6MDAwMjI5MzUzNjAwMDAxPC9hY2Nlc3Npb24tbnVtPjx3b3Jr
LXR5cGU+UmV2aWV3PC93b3JrLXR5cGU+PHVybHM+PHJlbGF0ZWQtdXJscz48dXJsPiZsdDtHbyB0
byBJU0kmZ3Q7Oi8vV09TOjAwMDIyOTM1MzYwMDAwMTwvdXJsPjwvcmVsYXRlZC11cmxzPjwvdXJs
cz48ZWxlY3Ryb25pYy1yZXNvdXJjZS1udW0+MTAuMTAxNi9qLmpwcm9jb250LjIwMDQuMDguMDAz
PC9lbGVjdHJvbmljLXJlc291cmNlLW51bT48bGFuZ3VhZ2U+RW5nbGlzaDwvbGFuZ3VhZ2U+PC9y
ZWNvcmQ+PC9DaXRlPjwvRW5kTm90ZT5=
</w:fldData>
        </w:fldChar>
      </w:r>
      <w:r w:rsidR="00F24C67">
        <w:rPr>
          <w:rFonts w:ascii="Helvetica" w:hAnsi="Helvetica" w:cs="Helvetica"/>
        </w:rPr>
        <w:instrText xml:space="preserve"> ADDIN EN.CITE </w:instrText>
      </w:r>
      <w:r w:rsidR="00F24C67">
        <w:rPr>
          <w:rFonts w:ascii="Helvetica" w:hAnsi="Helvetica" w:cs="Helvetica"/>
        </w:rPr>
        <w:fldChar w:fldCharType="begin">
          <w:fldData xml:space="preserve">PEVuZE5vdGU+PENpdGU+PEF1dGhvcj5GdWppd2FyYTwvQXV0aG9yPjxZZWFyPjIwMDU8L1llYXI+
PFJlY051bT44PC9SZWNOdW0+PERpc3BsYXlUZXh0PihGdWppd2FyYSBldCBhbC4sIDIwMDUpPC9E
aXNwbGF5VGV4dD48cmVjb3JkPjxyZWMtbnVtYmVyPjg8L3JlYy1udW1iZXI+PGZvcmVpZ24ta2V5
cz48a2V5IGFwcD0iRU4iIGRiLWlkPSI5cGYwdHgyd2t0MmY1NmVmcHRweGV2MDAweHpwMnYwd3oy
ZTkiIHRpbWVzdGFtcD0iMTM2Mjg2OTI1MCI+ODwva2V5PjwvZm9yZWlnbi1rZXlzPjxyZWYtdHlw
ZSBuYW1lPSJKb3VybmFsIEFydGljbGUiPjE3PC9yZWYtdHlwZT48Y29udHJpYnV0b3JzPjxhdXRo
b3JzPjxhdXRob3I+RnVqaXdhcmEsIE0uPC9hdXRob3I+PGF1dGhvcj5OYWd5LCBaLiBLLjwvYXV0
aG9yPjxhdXRob3I+Q2hldywgSi4gVy48L2F1dGhvcj48YXV0aG9yPkJyYWF0eiwgUi4gRC48L2F1
dGhvcj48L2F1dGhvcnM+PC9jb250cmlidXRvcnM+PGF1dGgtYWRkcmVzcz5Vbml2IElsbGlub2lz
LCBEZXB0IENoZW0gJmFtcDsgQmlvbW9sIEVuZ24sIFVyYmFuYSwgSUwgNjE4MDEgVVNBLiYjeEQ7
QnJhYXR6LCBSRCAocmVwcmludCBhdXRob3IpLCBVbml2IElsbGlub2lzLCBEZXB0IENoZW0gJmFt
cDsgQmlvbW9sIEVuZ24sIDkzIFJvZ2VyIEFkYW1zIExhYiBCb3ggQy0zLDYwMCBTIE1hdGhld3Mg
QXZlLCBVcmJhbmEsIElMIDYxODAxIFVTQSYjeEQ7YnJhYXR6QHVpdWMuZWR1PC9hdXRoLWFkZHJl
c3M+PHRpdGxlcz48dGl0bGU+Rmlyc3QtUHJpbmNpcGxlcyBhbmQgRGlyZWN0IERlc2lnbiBBcHBy
b2FjaGVzIGZvciB0aGUgQ29udHJvbCBvZiBQaGFybWFjZXV0aWNhbCBDcnlzdGFsbGl6YXRpb248
L3RpdGxlPjxzZWNvbmRhcnktdGl0bGU+Sm91cm5hbCBvZiBQcm9jZXNzIENvbnRyb2w8L3NlY29u
ZGFyeS10aXRsZT48YWx0LXRpdGxlPkouIFByb2Nlc3MgQ29udHJvbDwvYWx0LXRpdGxlPjwvdGl0
bGVzPjxwZXJpb2RpY2FsPjxmdWxsLXRpdGxlPkpvdXJuYWwgb2YgUHJvY2VzcyBDb250cm9sPC9m
dWxsLXRpdGxlPjxhYmJyLTE+Si4gUHJvY2VzcyBDb250cm9sPC9hYmJyLTE+PC9wZXJpb2RpY2Fs
PjxhbHQtcGVyaW9kaWNhbD48ZnVsbC10aXRsZT5Kb3VybmFsIG9mIFByb2Nlc3MgQ29udHJvbDwv
ZnVsbC10aXRsZT48YWJici0xPkouIFByb2Nlc3MgQ29udHJvbDwvYWJici0xPjwvYWx0LXBlcmlv
ZGljYWw+PHBhZ2VzPjQ5My01MDQ8L3BhZ2VzPjx2b2x1bWU+MTU8L3ZvbHVtZT48bnVtYmVyPjU8
L251bWJlcj48a2V5d29yZHM+PGtleXdvcmQ+cGhhcm1hY2V1dGljYWxzIHByb2Nlc3Nlczwva2V5
d29yZD48a2V5d29yZD5pbmR1c3RyaWFsIGNyeXN0YWxsaXphdGlvbjwva2V5d29yZD48a2V5d29y
ZD5vcHRpbWFsIGNvbnRyb2w8L2tleXdvcmQ+PGtleXdvcmQ+QVRSLUZUSVIgU1BFQ1RST1NDT1BZ
PC9rZXl3b3JkPjxrZXl3b3JkPlBBUlRJQ0xFLVNJWkUgRElTVFJJQlVUSU9OPC9rZXl3b3JkPjxr
ZXl3b3JkPlNJVFU8L2tleXdvcmQ+PGtleXdvcmQ+UkFNQU4tU1BFQ1RST1NDT1BZPC9rZXl3b3Jk
PjxrZXl3b3JkPklOLVNJVFU8L2tleXdvcmQ+PGtleXdvcmQ+TVVMVElESU1FTlNJT05BTCBDUllT
VEFMTElaQVRJT048L2tleXdvcmQ+PGtleXdvcmQ+QkFUQ0g8L2tleXdvcmQ+PGtleXdvcmQ+Q1JZ
U1RBTExJWkFUSU9OPC9rZXl3b3JkPjxrZXl3b3JkPklORlJBUkVELVNQRUNUUk9TQ09QWTwva2V5
d29yZD48a2V5d29yZD5MQVNFUiBCQUNLU0NBVFRFUklORzwva2V5d29yZD48a2V5d29yZD5DT05D
RU5UUkFUSU9OIFBSRURJQ1RJT048L2tleXdvcmQ+PGtleXdvcmQ+TU9ERUwgSURFTlRJRklDQVRJ
T048L2tleXdvcmQ+PC9rZXl3b3Jkcz48ZGF0ZXM+PHllYXI+MjAwNTwveWVhcj48cHViLWRhdGVz
PjxkYXRlPkF1ZzwvZGF0ZT48L3B1Yi1kYXRlcz48L2RhdGVzPjxpc2JuPjA5NTktMTUyNDwvaXNi
bj48YWNjZXNzaW9uLW51bT5XT1M6MDAwMjI5MzUzNjAwMDAxPC9hY2Nlc3Npb24tbnVtPjx3b3Jr
LXR5cGU+UmV2aWV3PC93b3JrLXR5cGU+PHVybHM+PHJlbGF0ZWQtdXJscz48dXJsPiZsdDtHbyB0
byBJU0kmZ3Q7Oi8vV09TOjAwMDIyOTM1MzYwMDAwMTwvdXJsPjwvcmVsYXRlZC11cmxzPjwvdXJs
cz48ZWxlY3Ryb25pYy1yZXNvdXJjZS1udW0+MTAuMTAxNi9qLmpwcm9jb250LjIwMDQuMDguMDAz
PC9lbGVjdHJvbmljLXJlc291cmNlLW51bT48bGFuZ3VhZ2U+RW5nbGlzaDwvbGFuZ3VhZ2U+PC9y
ZWNvcmQ+PC9DaXRlPjwvRW5kTm90ZT5=
</w:fldData>
        </w:fldChar>
      </w:r>
      <w:r w:rsidR="00F24C67">
        <w:rPr>
          <w:rFonts w:ascii="Helvetica" w:hAnsi="Helvetica" w:cs="Helvetica"/>
        </w:rPr>
        <w:instrText xml:space="preserve"> ADDIN EN.CITE.DATA </w:instrText>
      </w:r>
      <w:r w:rsidR="00F24C67">
        <w:rPr>
          <w:rFonts w:ascii="Helvetica" w:hAnsi="Helvetica" w:cs="Helvetica"/>
        </w:rPr>
      </w:r>
      <w:r w:rsidR="00F24C67">
        <w:rPr>
          <w:rFonts w:ascii="Helvetica" w:hAnsi="Helvetica" w:cs="Helvetica"/>
        </w:rPr>
        <w:fldChar w:fldCharType="end"/>
      </w:r>
      <w:r w:rsidR="00F24C67">
        <w:rPr>
          <w:rFonts w:ascii="Helvetica" w:hAnsi="Helvetica" w:cs="Helvetica"/>
        </w:rPr>
      </w:r>
      <w:r w:rsidR="00F24C67">
        <w:rPr>
          <w:rFonts w:ascii="Helvetica" w:hAnsi="Helvetica" w:cs="Helvetica"/>
        </w:rPr>
        <w:fldChar w:fldCharType="separate"/>
      </w:r>
      <w:r w:rsidR="00F24C67">
        <w:rPr>
          <w:rFonts w:ascii="Helvetica" w:hAnsi="Helvetica" w:cs="Helvetica"/>
          <w:noProof/>
        </w:rPr>
        <w:t>(</w:t>
      </w:r>
      <w:hyperlink w:anchor="_ENREF_1" w:tooltip="Fujiwara, 2005 #8" w:history="1">
        <w:r w:rsidR="00F24C67">
          <w:rPr>
            <w:rFonts w:ascii="Helvetica" w:hAnsi="Helvetica" w:cs="Helvetica"/>
            <w:noProof/>
          </w:rPr>
          <w:t>Fujiwara et al., 2005</w:t>
        </w:r>
      </w:hyperlink>
      <w:r w:rsidR="00F24C67">
        <w:rPr>
          <w:rFonts w:ascii="Helvetica" w:hAnsi="Helvetica" w:cs="Helvetica"/>
          <w:noProof/>
        </w:rPr>
        <w:t>)</w:t>
      </w:r>
      <w:r w:rsidR="00F24C67">
        <w:rPr>
          <w:rFonts w:ascii="Helvetica" w:hAnsi="Helvetica" w:cs="Helvetica"/>
        </w:rPr>
        <w:fldChar w:fldCharType="end"/>
      </w:r>
      <w:r w:rsidR="00F24C67">
        <w:rPr>
          <w:rFonts w:ascii="Helvetica" w:hAnsi="Helvetica" w:cs="Helvetica"/>
        </w:rPr>
        <w:t>—</w:t>
      </w:r>
      <w:r>
        <w:rPr>
          <w:rFonts w:ascii="Helvetica" w:hAnsi="Helvetica" w:cs="Helvetica"/>
        </w:rPr>
        <w:t xml:space="preserve">have been successfully applied to control </w:t>
      </w:r>
      <w:r w:rsidR="00DC2D7D">
        <w:rPr>
          <w:rFonts w:ascii="Helvetica" w:hAnsi="Helvetica" w:cs="Helvetica"/>
        </w:rPr>
        <w:t>single-</w:t>
      </w:r>
      <w:r>
        <w:rPr>
          <w:rFonts w:ascii="Helvetica" w:hAnsi="Helvetica" w:cs="Helvetica"/>
        </w:rPr>
        <w:t>solute crystallization</w:t>
      </w:r>
      <w:r w:rsidR="00F24C67">
        <w:rPr>
          <w:rFonts w:ascii="Helvetica" w:hAnsi="Helvetica" w:cs="Helvetica"/>
        </w:rPr>
        <w:t xml:space="preserve"> </w:t>
      </w:r>
      <w:r w:rsidR="00F24C67">
        <w:rPr>
          <w:rFonts w:ascii="Helvetica" w:hAnsi="Helvetica" w:cs="Helvetica"/>
        </w:rPr>
        <w:fldChar w:fldCharType="begin"/>
      </w:r>
      <w:r w:rsidR="00F24C67">
        <w:rPr>
          <w:rFonts w:ascii="Helvetica" w:hAnsi="Helvetica" w:cs="Helvetica"/>
        </w:rPr>
        <w:instrText xml:space="preserve"> ADDIN EN.CITE &lt;EndNote&gt;&lt;Cite&gt;&lt;Author&gt;Nagy&lt;/Author&gt;&lt;Year&gt;2012&lt;/Year&gt;&lt;RecNum&gt;77&lt;/RecNum&gt;&lt;DisplayText&gt;(Nagy and Braatz, 2012)&lt;/DisplayText&gt;&lt;record&gt;&lt;rec-number&gt;77&lt;/rec-number&gt;&lt;foreign-keys&gt;&lt;key app="EN" db-id="9pf0tx2wkt2f56efptpxev000xzp2v0wz2e9" timestamp="1362869271"&gt;77&lt;/key&gt;&lt;/foreign-keys&gt;&lt;ref-type name="Journal Article"&gt;17&lt;/ref-type&gt;&lt;contributors&gt;&lt;authors&gt;&lt;author&gt;Nagy, Zoltan K.&lt;/author&gt;&lt;author&gt;Braatz, Richard D.&lt;/author&gt;&lt;/authors&gt;&lt;/contributors&gt;&lt;titles&gt;&lt;title&gt;Advances and New Directions in Crystallization Control&lt;/title&gt;&lt;secondary-title&gt;Annual Review of Chemical and Biomolecular Engineering, Vol 3&lt;/secondary-title&gt;&lt;/titles&gt;&lt;periodical&gt;&lt;full-title&gt;Annual Review of Chemical and Biomolecular Engineering, Vol 3&lt;/full-title&gt;&lt;/periodical&gt;&lt;volume&gt;3&lt;/volume&gt;&lt;dates&gt;&lt;year&gt;2012&lt;/year&gt;&lt;pub-dates&gt;&lt;date&gt;2012&lt;/date&gt;&lt;/pub-dates&gt;&lt;/dates&gt;&lt;isbn&gt;1947-5438&lt;/isbn&gt;&lt;accession-num&gt;WOS:000307955800005&lt;/accession-num&gt;&lt;urls&gt;&lt;related-urls&gt;&lt;url&gt;&amp;lt;Go to ISI&amp;gt;://WOS:000307955800005&lt;/url&gt;&lt;/related-urls&gt;&lt;/urls&gt;&lt;electronic-resource-num&gt;10.1146/annurev-chembioeng-062011-081043&lt;/electronic-resource-num&gt;&lt;/record&gt;&lt;/Cite&gt;&lt;/EndNote&gt;</w:instrText>
      </w:r>
      <w:r w:rsidR="00F24C67">
        <w:rPr>
          <w:rFonts w:ascii="Helvetica" w:hAnsi="Helvetica" w:cs="Helvetica"/>
        </w:rPr>
        <w:fldChar w:fldCharType="separate"/>
      </w:r>
      <w:r w:rsidR="00F24C67">
        <w:rPr>
          <w:rFonts w:ascii="Helvetica" w:hAnsi="Helvetica" w:cs="Helvetica"/>
          <w:noProof/>
        </w:rPr>
        <w:t>(</w:t>
      </w:r>
      <w:hyperlink w:anchor="_ENREF_3" w:tooltip="Nagy, 2012 #77" w:history="1">
        <w:r w:rsidR="00F24C67">
          <w:rPr>
            <w:rFonts w:ascii="Helvetica" w:hAnsi="Helvetica" w:cs="Helvetica"/>
            <w:noProof/>
          </w:rPr>
          <w:t>Nagy and Braatz, 2012</w:t>
        </w:r>
      </w:hyperlink>
      <w:r w:rsidR="00F24C67">
        <w:rPr>
          <w:rFonts w:ascii="Helvetica" w:hAnsi="Helvetica" w:cs="Helvetica"/>
          <w:noProof/>
        </w:rPr>
        <w:t>)</w:t>
      </w:r>
      <w:r w:rsidR="00F24C67">
        <w:rPr>
          <w:rFonts w:ascii="Helvetica" w:hAnsi="Helvetica" w:cs="Helvetica"/>
        </w:rPr>
        <w:fldChar w:fldCharType="end"/>
      </w:r>
      <w:r>
        <w:rPr>
          <w:rFonts w:ascii="Helvetica" w:hAnsi="Helvetica" w:cs="Helvetica"/>
        </w:rPr>
        <w:t xml:space="preserve">, </w:t>
      </w:r>
      <w:r w:rsidR="0096036C">
        <w:rPr>
          <w:rFonts w:ascii="Helvetica" w:hAnsi="Helvetica" w:cs="Helvetica"/>
        </w:rPr>
        <w:t>but</w:t>
      </w:r>
      <w:r>
        <w:rPr>
          <w:rFonts w:ascii="Helvetica" w:hAnsi="Helvetica" w:cs="Helvetica"/>
        </w:rPr>
        <w:t xml:space="preserve"> have not been extended to multicomponent crystallizations. The presence of multiple solutes affects solution behavior and can</w:t>
      </w:r>
      <w:r w:rsidR="008D7B8A">
        <w:rPr>
          <w:rFonts w:ascii="Helvetica" w:hAnsi="Helvetica" w:cs="Helvetica"/>
        </w:rPr>
        <w:t xml:space="preserve"> convo</w:t>
      </w:r>
      <w:r w:rsidR="00F24C67">
        <w:rPr>
          <w:rFonts w:ascii="Helvetica" w:hAnsi="Helvetica" w:cs="Helvetica"/>
        </w:rPr>
        <w:t>lute measurement signals. This introduces complications in the</w:t>
      </w:r>
      <w:r w:rsidR="007270C3">
        <w:rPr>
          <w:rFonts w:ascii="Helvetica" w:hAnsi="Helvetica" w:cs="Helvetica"/>
        </w:rPr>
        <w:t xml:space="preserve"> supersaturation</w:t>
      </w:r>
      <w:r w:rsidR="00F24C67">
        <w:rPr>
          <w:rFonts w:ascii="Helvetica" w:hAnsi="Helvetica" w:cs="Helvetica"/>
        </w:rPr>
        <w:t xml:space="preserve"> </w:t>
      </w:r>
      <w:r w:rsidR="007270C3">
        <w:rPr>
          <w:rFonts w:ascii="Helvetica" w:hAnsi="Helvetica" w:cs="Helvetica"/>
        </w:rPr>
        <w:t>control strategy</w:t>
      </w:r>
      <w:r w:rsidR="00F24C67">
        <w:rPr>
          <w:rFonts w:ascii="Helvetica" w:hAnsi="Helvetica" w:cs="Helvetica"/>
        </w:rPr>
        <w:t>, which rel</w:t>
      </w:r>
      <w:r w:rsidR="007270C3">
        <w:rPr>
          <w:rFonts w:ascii="Helvetica" w:hAnsi="Helvetica" w:cs="Helvetica"/>
        </w:rPr>
        <w:t>ies</w:t>
      </w:r>
      <w:r w:rsidR="00F24C67">
        <w:rPr>
          <w:rFonts w:ascii="Helvetica" w:hAnsi="Helvetica" w:cs="Helvetica"/>
        </w:rPr>
        <w:t xml:space="preserve"> on </w:t>
      </w:r>
      <w:r w:rsidR="007270C3">
        <w:rPr>
          <w:rFonts w:ascii="Helvetica" w:hAnsi="Helvetica" w:cs="Helvetica"/>
        </w:rPr>
        <w:t>solubility information an</w:t>
      </w:r>
      <w:r w:rsidR="008225A0">
        <w:rPr>
          <w:rFonts w:ascii="Helvetica" w:hAnsi="Helvetica" w:cs="Helvetica"/>
        </w:rPr>
        <w:t>d</w:t>
      </w:r>
      <w:r w:rsidR="007270C3">
        <w:rPr>
          <w:rFonts w:ascii="Helvetica" w:hAnsi="Helvetica" w:cs="Helvetica"/>
        </w:rPr>
        <w:t xml:space="preserve"> concentration </w:t>
      </w:r>
      <w:r w:rsidR="00F24C67">
        <w:rPr>
          <w:rFonts w:ascii="Helvetica" w:hAnsi="Helvetica" w:cs="Helvetica"/>
        </w:rPr>
        <w:t xml:space="preserve">measurement </w:t>
      </w:r>
      <w:r w:rsidR="008225A0">
        <w:rPr>
          <w:rFonts w:ascii="Helvetica" w:hAnsi="Helvetica" w:cs="Helvetica"/>
        </w:rPr>
        <w:t xml:space="preserve">feedback </w:t>
      </w:r>
      <w:r w:rsidR="007270C3">
        <w:rPr>
          <w:rFonts w:ascii="Helvetica" w:hAnsi="Helvetica" w:cs="Helvetica"/>
        </w:rPr>
        <w:t xml:space="preserve">(via infrared or other spectroscopic </w:t>
      </w:r>
      <w:r w:rsidR="008225A0">
        <w:rPr>
          <w:rFonts w:ascii="Helvetica" w:hAnsi="Helvetica" w:cs="Helvetica"/>
        </w:rPr>
        <w:t>techniques</w:t>
      </w:r>
      <w:r w:rsidR="007270C3">
        <w:rPr>
          <w:rFonts w:ascii="Helvetica" w:hAnsi="Helvetica" w:cs="Helvetica"/>
        </w:rPr>
        <w:t>)</w:t>
      </w:r>
      <w:r w:rsidR="008D7B8A">
        <w:rPr>
          <w:rFonts w:ascii="Helvetica" w:hAnsi="Helvetica" w:cs="Helvetica"/>
        </w:rPr>
        <w:t>.</w:t>
      </w:r>
      <w:r w:rsidR="0096036C">
        <w:rPr>
          <w:rFonts w:ascii="Helvetica" w:hAnsi="Helvetica" w:cs="Helvetica"/>
        </w:rPr>
        <w:t xml:space="preserve"> </w:t>
      </w:r>
      <w:r w:rsidR="00E96848">
        <w:rPr>
          <w:rFonts w:ascii="Helvetica" w:hAnsi="Helvetica" w:cs="Helvetica"/>
        </w:rPr>
        <w:t>In considering these complications for the model two-solute solution we developed methodologies for quickly gathering the solubility of a multicomponent solution and also extracting the concentration of multiple components from the complex solution infrared absorbance spectra. Applying these techniques we</w:t>
      </w:r>
      <w:r w:rsidR="008225A0">
        <w:rPr>
          <w:rFonts w:ascii="Helvetica" w:hAnsi="Helvetica" w:cs="Helvetica"/>
        </w:rPr>
        <w:t xml:space="preserve"> </w:t>
      </w:r>
      <w:r w:rsidR="00E96848">
        <w:rPr>
          <w:rFonts w:ascii="Helvetica" w:hAnsi="Helvetica" w:cs="Helvetica"/>
        </w:rPr>
        <w:t>are able</w:t>
      </w:r>
      <w:r w:rsidR="008225A0">
        <w:rPr>
          <w:rFonts w:ascii="Helvetica" w:hAnsi="Helvetica" w:cs="Helvetica"/>
        </w:rPr>
        <w:t xml:space="preserve"> to apply supersaturation control during fractional crystallization.</w:t>
      </w:r>
    </w:p>
    <w:p w:rsidR="00F24C67" w:rsidRPr="00F24C67" w:rsidRDefault="00FA6665" w:rsidP="00F24C67">
      <w:pPr>
        <w:pStyle w:val="EndNoteBibliography"/>
        <w:spacing w:after="0"/>
        <w:ind w:left="720" w:hanging="720"/>
      </w:pPr>
      <w:r>
        <w:rPr>
          <w:rFonts w:ascii="Helvetica" w:hAnsi="Helvetica" w:cs="Helvetica"/>
        </w:rPr>
        <w:lastRenderedPageBreak/>
        <w:fldChar w:fldCharType="begin"/>
      </w:r>
      <w:r>
        <w:rPr>
          <w:rFonts w:ascii="Helvetica" w:hAnsi="Helvetica" w:cs="Helvetica"/>
        </w:rPr>
        <w:instrText xml:space="preserve"> ADDIN EN.REFLIST </w:instrText>
      </w:r>
      <w:r>
        <w:rPr>
          <w:rFonts w:ascii="Helvetica" w:hAnsi="Helvetica" w:cs="Helvetica"/>
        </w:rPr>
        <w:fldChar w:fldCharType="separate"/>
      </w:r>
      <w:bookmarkStart w:id="1" w:name="_ENREF_1"/>
      <w:r w:rsidR="00F24C67" w:rsidRPr="00F24C67">
        <w:t xml:space="preserve">Fujiwara, M., Nagy, Z. K., Chew, J. W. and Braatz, R. D. 2005. First-Principles and Direct Design Approaches for the Control of Pharmaceutical Crystallization. </w:t>
      </w:r>
      <w:r w:rsidR="00F24C67" w:rsidRPr="00F24C67">
        <w:rPr>
          <w:i/>
        </w:rPr>
        <w:t>Journal of Process Control</w:t>
      </w:r>
      <w:r w:rsidR="00F24C67" w:rsidRPr="00F24C67">
        <w:t xml:space="preserve"> 15, 493-504</w:t>
      </w:r>
      <w:bookmarkEnd w:id="1"/>
    </w:p>
    <w:p w:rsidR="00F24C67" w:rsidRPr="00F24C67" w:rsidRDefault="00F24C67" w:rsidP="00F24C67">
      <w:pPr>
        <w:pStyle w:val="EndNoteBibliography"/>
        <w:spacing w:after="0"/>
        <w:ind w:left="720" w:hanging="720"/>
      </w:pPr>
      <w:bookmarkStart w:id="2" w:name="_ENREF_2"/>
      <w:r w:rsidRPr="00F24C67">
        <w:t>Herting, D. L. 1996. Clean Salt Process - Final Report. Environmental Management</w:t>
      </w:r>
      <w:bookmarkEnd w:id="2"/>
    </w:p>
    <w:p w:rsidR="00F24C67" w:rsidRPr="00F24C67" w:rsidRDefault="00F24C67" w:rsidP="00F24C67">
      <w:pPr>
        <w:pStyle w:val="EndNoteBibliography"/>
        <w:spacing w:after="0"/>
        <w:ind w:left="720" w:hanging="720"/>
      </w:pPr>
      <w:bookmarkStart w:id="3" w:name="_ENREF_3"/>
      <w:r w:rsidRPr="00F24C67">
        <w:t xml:space="preserve">Nagy, Z. K. and Braatz, R. D. 2012. Advances and New Directions in Crystallization Control. </w:t>
      </w:r>
      <w:r w:rsidRPr="00F24C67">
        <w:rPr>
          <w:i/>
        </w:rPr>
        <w:t>Annual Review of Chemical and Biomolecular Engineering, Vol 3</w:t>
      </w:r>
      <w:r w:rsidRPr="00F24C67">
        <w:t xml:space="preserve"> 3</w:t>
      </w:r>
      <w:bookmarkEnd w:id="3"/>
    </w:p>
    <w:p w:rsidR="00F24C67" w:rsidRPr="00F24C67" w:rsidRDefault="00F24C67" w:rsidP="00F24C67">
      <w:pPr>
        <w:pStyle w:val="EndNoteBibliography"/>
        <w:ind w:left="720" w:hanging="720"/>
      </w:pPr>
      <w:bookmarkStart w:id="4" w:name="_ENREF_4"/>
      <w:r w:rsidRPr="00F24C67">
        <w:t xml:space="preserve">Nassif, L., Dumont, G., Alysouri, H. and Rousseau, R. W. 2008. Pretreatment of Hanford Medium-Curie Wastes by Fractional Crystallization. </w:t>
      </w:r>
      <w:r w:rsidRPr="00F24C67">
        <w:rPr>
          <w:i/>
        </w:rPr>
        <w:t>Environmental Science &amp; Technology</w:t>
      </w:r>
      <w:r w:rsidRPr="00F24C67">
        <w:t xml:space="preserve"> 42, 4940-4945</w:t>
      </w:r>
      <w:bookmarkEnd w:id="4"/>
    </w:p>
    <w:p w:rsidR="00FA6665" w:rsidRPr="00FA6665" w:rsidRDefault="00FA6665" w:rsidP="00FA6665">
      <w:pPr>
        <w:pStyle w:val="EndNoteBibliography"/>
        <w:ind w:left="720" w:hanging="720"/>
        <w:rPr>
          <w:rFonts w:ascii="Helvetica" w:hAnsi="Helvetica" w:cs="Helvetica"/>
        </w:rPr>
      </w:pPr>
      <w:r>
        <w:rPr>
          <w:rFonts w:ascii="Helvetica" w:hAnsi="Helvetica" w:cs="Helvetica"/>
        </w:rPr>
        <w:fldChar w:fldCharType="end"/>
      </w:r>
    </w:p>
    <w:sectPr w:rsidR="00FA6665" w:rsidRPr="00FA66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pf0tx2wkt2f56efptpxev000xzp2v0wz2e9&quot;&gt;My EndNote Library&lt;record-ids&gt;&lt;item&gt;8&lt;/item&gt;&lt;item&gt;77&lt;/item&gt;&lt;item&gt;124&lt;/item&gt;&lt;item&gt;130&lt;/item&gt;&lt;/record-ids&gt;&lt;/item&gt;&lt;/Libraries&gt;"/>
  </w:docVars>
  <w:rsids>
    <w:rsidRoot w:val="00FA6665"/>
    <w:rsid w:val="002070B6"/>
    <w:rsid w:val="00322BB6"/>
    <w:rsid w:val="007270C3"/>
    <w:rsid w:val="007D501B"/>
    <w:rsid w:val="00800194"/>
    <w:rsid w:val="008225A0"/>
    <w:rsid w:val="008D7B8A"/>
    <w:rsid w:val="0096036C"/>
    <w:rsid w:val="00AE317F"/>
    <w:rsid w:val="00DC2D7D"/>
    <w:rsid w:val="00DE572C"/>
    <w:rsid w:val="00E96848"/>
    <w:rsid w:val="00F24C67"/>
    <w:rsid w:val="00FA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FE366E-7703-4D72-B835-D661FB54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A6665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A6665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A6665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A6665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FA666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BB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C2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D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D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D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49D5D-1923-4BAA-95F2-F3E61FB5F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Institute of Technology</Company>
  <LinksUpToDate>false</LinksUpToDate>
  <CharactersWithSpaces>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Griffin, Daniel J</dc:creator>
  <cp:lastModifiedBy>Griffin, Daniel J</cp:lastModifiedBy>
  <cp:revision>5</cp:revision>
  <cp:lastPrinted>2014-05-02T17:56:00Z</cp:lastPrinted>
  <dcterms:created xsi:type="dcterms:W3CDTF">2014-05-06T18:44:00Z</dcterms:created>
  <dcterms:modified xsi:type="dcterms:W3CDTF">2014-05-07T13:14:00Z</dcterms:modified>
</cp:coreProperties>
</file>