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BB4" w:rsidRPr="00D91216" w:rsidRDefault="00133BB4" w:rsidP="00133BB4">
      <w:pPr>
        <w:pStyle w:val="1"/>
        <w:rPr>
          <w:rFonts w:eastAsia="Malgun Gothic"/>
          <w:sz w:val="24"/>
          <w:lang w:val="en-US" w:eastAsia="ko-KR"/>
        </w:rPr>
      </w:pPr>
      <w:r w:rsidRPr="00D91216">
        <w:rPr>
          <w:rFonts w:eastAsia="Malgun Gothic"/>
          <w:noProof/>
          <w:sz w:val="24"/>
          <w:lang w:val="en-US" w:eastAsia="ko-KR"/>
        </w:rPr>
        <w:t>Nanoporous Carbon from Renewables for Supercapacitor Applications</w:t>
      </w:r>
    </w:p>
    <w:p w:rsidR="00133BB4" w:rsidRPr="00133BB4" w:rsidRDefault="0059778D" w:rsidP="00133BB4">
      <w:pPr>
        <w:jc w:val="both"/>
        <w:rPr>
          <w:rFonts w:eastAsia="Malgun Gothic"/>
          <w:color w:val="000000"/>
          <w:sz w:val="24"/>
          <w:lang w:val="en-US" w:eastAsia="ko-KR"/>
        </w:rPr>
      </w:pPr>
      <w:r w:rsidRPr="009E62B8">
        <w:rPr>
          <w:rFonts w:eastAsia="Malgun Gothic"/>
          <w:i/>
          <w:color w:val="000000"/>
          <w:sz w:val="25"/>
          <w:szCs w:val="25"/>
          <w:lang w:val="en-US" w:eastAsia="ko-KR"/>
        </w:rPr>
        <w:t>Satish K. Nune</w:t>
      </w:r>
      <w:r>
        <w:rPr>
          <w:rFonts w:eastAsia="Malgun Gothic"/>
          <w:i/>
          <w:color w:val="000000"/>
          <w:sz w:val="25"/>
          <w:szCs w:val="25"/>
          <w:lang w:val="en-US" w:eastAsia="ko-KR"/>
        </w:rPr>
        <w:t xml:space="preserve">, </w:t>
      </w:r>
      <w:bookmarkStart w:id="0" w:name="_GoBack"/>
      <w:bookmarkEnd w:id="0"/>
      <w:r w:rsidR="00133BB4" w:rsidRPr="009E62B8">
        <w:rPr>
          <w:rFonts w:eastAsia="Malgun Gothic"/>
          <w:i/>
          <w:color w:val="000000"/>
          <w:sz w:val="25"/>
          <w:szCs w:val="25"/>
          <w:lang w:val="en-US" w:eastAsia="ko-KR"/>
        </w:rPr>
        <w:t xml:space="preserve">Ju-Won </w:t>
      </w:r>
      <w:proofErr w:type="spellStart"/>
      <w:r w:rsidR="00133BB4" w:rsidRPr="009E62B8">
        <w:rPr>
          <w:rFonts w:eastAsia="Malgun Gothic"/>
          <w:i/>
          <w:color w:val="000000"/>
          <w:sz w:val="25"/>
          <w:szCs w:val="25"/>
          <w:lang w:val="en-US" w:eastAsia="ko-KR"/>
        </w:rPr>
        <w:t>Jeon</w:t>
      </w:r>
      <w:proofErr w:type="spellEnd"/>
      <w:r w:rsidR="00133BB4" w:rsidRPr="009E62B8">
        <w:rPr>
          <w:rFonts w:eastAsia="Malgun Gothic"/>
          <w:i/>
          <w:color w:val="000000"/>
          <w:sz w:val="25"/>
          <w:szCs w:val="25"/>
          <w:lang w:val="en-US" w:eastAsia="ko-KR"/>
        </w:rPr>
        <w:t>,</w:t>
      </w:r>
      <w:r w:rsidR="00133BB4" w:rsidRPr="009E62B8">
        <w:rPr>
          <w:rFonts w:eastAsia="Malgun Gothic"/>
          <w:i/>
          <w:color w:val="000000"/>
          <w:sz w:val="25"/>
          <w:szCs w:val="25"/>
          <w:vertAlign w:val="superscript"/>
          <w:lang w:val="en-US" w:eastAsia="ko-KR"/>
        </w:rPr>
        <w:t xml:space="preserve"> </w:t>
      </w:r>
      <w:proofErr w:type="spellStart"/>
      <w:r w:rsidR="00133BB4" w:rsidRPr="009E62B8">
        <w:rPr>
          <w:i/>
          <w:color w:val="000000"/>
          <w:sz w:val="25"/>
          <w:szCs w:val="25"/>
          <w:lang w:val="en-US"/>
        </w:rPr>
        <w:t>Libing</w:t>
      </w:r>
      <w:proofErr w:type="spellEnd"/>
      <w:r w:rsidR="00133BB4" w:rsidRPr="009E62B8">
        <w:rPr>
          <w:i/>
          <w:color w:val="000000"/>
          <w:sz w:val="25"/>
          <w:szCs w:val="25"/>
          <w:lang w:val="en-US"/>
        </w:rPr>
        <w:t xml:space="preserve"> Zhang, John P. Lemmon, </w:t>
      </w:r>
      <w:r w:rsidR="00133BB4" w:rsidRPr="009E62B8">
        <w:rPr>
          <w:rFonts w:eastAsia="Batang"/>
          <w:i/>
          <w:color w:val="000000"/>
          <w:sz w:val="25"/>
          <w:szCs w:val="25"/>
          <w:lang w:val="en-US"/>
        </w:rPr>
        <w:t>Melvin P. Tucker,</w:t>
      </w:r>
      <w:r>
        <w:rPr>
          <w:i/>
          <w:color w:val="000000"/>
          <w:sz w:val="25"/>
          <w:szCs w:val="25"/>
          <w:lang w:val="en-US"/>
        </w:rPr>
        <w:t xml:space="preserve"> Peter B. McGrail, Bin Yang</w:t>
      </w:r>
    </w:p>
    <w:p w:rsidR="00F77DFC" w:rsidRPr="008E4B45" w:rsidRDefault="00F77DFC" w:rsidP="00F77DFC">
      <w:pPr>
        <w:jc w:val="center"/>
        <w:rPr>
          <w:lang w:eastAsia="ko-KR"/>
        </w:rPr>
      </w:pPr>
    </w:p>
    <w:p w:rsidR="00133BB4" w:rsidRDefault="00F77DFC" w:rsidP="00152A70">
      <w:pPr>
        <w:pStyle w:val="Heading3"/>
        <w:shd w:val="clear" w:color="auto" w:fill="FFFFFF"/>
        <w:spacing w:before="0" w:beforeAutospacing="0" w:after="0" w:afterAutospacing="0"/>
        <w:jc w:val="both"/>
        <w:rPr>
          <w:rFonts w:eastAsia="Malgun Gothic"/>
          <w:i/>
          <w:color w:val="000000"/>
          <w:sz w:val="24"/>
          <w:lang w:eastAsia="ko-KR"/>
        </w:rPr>
      </w:pPr>
      <w:r w:rsidRPr="008E4B45">
        <w:rPr>
          <w:rFonts w:eastAsia="Malgun Gothic"/>
          <w:b w:val="0"/>
          <w:sz w:val="24"/>
          <w:szCs w:val="24"/>
          <w:lang w:eastAsia="ko-KR"/>
        </w:rPr>
        <w:t xml:space="preserve">Due to </w:t>
      </w:r>
      <w:r w:rsidR="00587887" w:rsidRPr="008E4B45">
        <w:rPr>
          <w:rFonts w:eastAsia="Malgun Gothic"/>
          <w:b w:val="0"/>
          <w:sz w:val="24"/>
          <w:szCs w:val="24"/>
          <w:lang w:eastAsia="ko-KR"/>
        </w:rPr>
        <w:t xml:space="preserve">the </w:t>
      </w:r>
      <w:r w:rsidRPr="008E4B45">
        <w:rPr>
          <w:rFonts w:eastAsia="Malgun Gothic"/>
          <w:b w:val="0"/>
          <w:color w:val="000000"/>
          <w:sz w:val="24"/>
          <w:szCs w:val="24"/>
          <w:lang w:eastAsia="ko-KR"/>
        </w:rPr>
        <w:t xml:space="preserve">increased energy </w:t>
      </w:r>
      <w:r w:rsidRPr="008E4B45">
        <w:rPr>
          <w:rFonts w:eastAsia="Malgun Gothic"/>
          <w:b w:val="0"/>
          <w:sz w:val="24"/>
          <w:szCs w:val="24"/>
          <w:lang w:eastAsia="ko-KR"/>
        </w:rPr>
        <w:t>consumption, efficient and cost-effective electrical energy storage systems are highly desired</w:t>
      </w:r>
      <w:r w:rsidR="00337624" w:rsidRPr="008E4B45">
        <w:rPr>
          <w:rFonts w:eastAsia="Malgun Gothic"/>
          <w:b w:val="0"/>
          <w:sz w:val="24"/>
          <w:szCs w:val="24"/>
          <w:lang w:eastAsia="ko-KR"/>
        </w:rPr>
        <w:t xml:space="preserve">. </w:t>
      </w:r>
      <w:proofErr w:type="spellStart"/>
      <w:r w:rsidR="008E4B45" w:rsidRPr="008E4B45">
        <w:rPr>
          <w:rFonts w:eastAsia="Arial Unicode MS"/>
          <w:b w:val="0"/>
          <w:sz w:val="24"/>
          <w:szCs w:val="24"/>
        </w:rPr>
        <w:t>Supercapacitors</w:t>
      </w:r>
      <w:proofErr w:type="spellEnd"/>
      <w:r w:rsidR="008E4B45" w:rsidRPr="008E4B45">
        <w:rPr>
          <w:rFonts w:eastAsia="Arial Unicode MS"/>
          <w:b w:val="0"/>
          <w:sz w:val="24"/>
          <w:szCs w:val="24"/>
        </w:rPr>
        <w:t xml:space="preserve"> that bridge the gap between </w:t>
      </w:r>
      <w:r w:rsidR="008E4B45" w:rsidRPr="008E4B45">
        <w:rPr>
          <w:rFonts w:eastAsia="Malgun Gothic"/>
          <w:b w:val="0"/>
          <w:sz w:val="24"/>
          <w:szCs w:val="24"/>
          <w:lang w:eastAsia="ko-KR"/>
        </w:rPr>
        <w:t>batteries (high energy and</w:t>
      </w:r>
      <w:r w:rsidR="008E4B45" w:rsidRPr="008E4B45">
        <w:rPr>
          <w:rFonts w:eastAsia="Malgun Gothic"/>
          <w:b w:val="0"/>
          <w:color w:val="000000"/>
          <w:sz w:val="24"/>
          <w:szCs w:val="24"/>
          <w:lang w:eastAsia="ko-KR"/>
        </w:rPr>
        <w:t xml:space="preserve"> low power) and capacitors (low energy and high power) </w:t>
      </w:r>
      <w:r w:rsidRPr="008E4B45">
        <w:rPr>
          <w:rFonts w:eastAsia="Arial Unicode MS"/>
          <w:b w:val="0"/>
          <w:sz w:val="24"/>
          <w:szCs w:val="24"/>
        </w:rPr>
        <w:t>have</w:t>
      </w:r>
      <w:r w:rsidRPr="008E4B45">
        <w:rPr>
          <w:rFonts w:eastAsia="Arial Unicode MS" w:hint="eastAsia"/>
          <w:b w:val="0"/>
          <w:sz w:val="24"/>
          <w:szCs w:val="24"/>
        </w:rPr>
        <w:t xml:space="preserve"> been playing crucial role as one of the energy storage systems</w:t>
      </w:r>
      <w:r w:rsidR="00587887" w:rsidRPr="008E4B45">
        <w:rPr>
          <w:rFonts w:eastAsia="Arial Unicode MS"/>
          <w:b w:val="0"/>
          <w:sz w:val="24"/>
          <w:szCs w:val="24"/>
        </w:rPr>
        <w:t xml:space="preserve"> and </w:t>
      </w:r>
      <w:r w:rsidR="00587887" w:rsidRPr="008E4B45">
        <w:rPr>
          <w:rFonts w:eastAsia="Malgun Gothic"/>
          <w:b w:val="0"/>
          <w:color w:val="000000"/>
          <w:sz w:val="24"/>
          <w:szCs w:val="24"/>
          <w:lang w:eastAsia="ko-KR"/>
        </w:rPr>
        <w:t>have started to realize their potential in transportation as well as consumer electronics</w:t>
      </w:r>
      <w:r w:rsidR="008E4B45" w:rsidRPr="008E4B45">
        <w:rPr>
          <w:rFonts w:eastAsia="Malgun Gothic"/>
          <w:b w:val="0"/>
          <w:color w:val="000000"/>
          <w:sz w:val="24"/>
          <w:szCs w:val="24"/>
          <w:lang w:eastAsia="ko-KR"/>
        </w:rPr>
        <w:t>. H</w:t>
      </w:r>
      <w:r w:rsidR="00587887" w:rsidRPr="008E4B45">
        <w:rPr>
          <w:rFonts w:eastAsia="Malgun Gothic"/>
          <w:b w:val="0"/>
          <w:color w:val="000000"/>
          <w:sz w:val="24"/>
          <w:szCs w:val="24"/>
          <w:lang w:eastAsia="ko-KR"/>
        </w:rPr>
        <w:t xml:space="preserve">owever, their use is relatively limited because of poor performance (low energy density) and high cost. </w:t>
      </w:r>
      <w:r w:rsidRPr="008E4B45">
        <w:rPr>
          <w:rFonts w:eastAsia="Arial Unicode MS" w:hint="eastAsia"/>
          <w:b w:val="0"/>
          <w:sz w:val="24"/>
          <w:szCs w:val="24"/>
        </w:rPr>
        <w:t xml:space="preserve">Significant efforts have been made to develop highly efficient </w:t>
      </w:r>
      <w:r w:rsidR="00587887" w:rsidRPr="008E4B45">
        <w:rPr>
          <w:rFonts w:eastAsia="Arial Unicode MS"/>
          <w:b w:val="0"/>
          <w:sz w:val="24"/>
          <w:szCs w:val="24"/>
        </w:rPr>
        <w:t xml:space="preserve">less expensive </w:t>
      </w:r>
      <w:proofErr w:type="spellStart"/>
      <w:r w:rsidRPr="008E4B45">
        <w:rPr>
          <w:rFonts w:eastAsia="Arial Unicode MS" w:hint="eastAsia"/>
          <w:b w:val="0"/>
          <w:sz w:val="24"/>
          <w:szCs w:val="24"/>
        </w:rPr>
        <w:t>supercapacitors</w:t>
      </w:r>
      <w:proofErr w:type="spellEnd"/>
      <w:r w:rsidRPr="008E4B45">
        <w:rPr>
          <w:rFonts w:eastAsia="Arial Unicode MS" w:hint="eastAsia"/>
          <w:b w:val="0"/>
          <w:sz w:val="24"/>
          <w:szCs w:val="24"/>
        </w:rPr>
        <w:t xml:space="preserve">. </w:t>
      </w:r>
      <w:r w:rsidR="00587887" w:rsidRPr="008E4B45">
        <w:rPr>
          <w:rFonts w:eastAsia="Arial Unicode MS"/>
          <w:b w:val="0"/>
          <w:sz w:val="24"/>
          <w:szCs w:val="24"/>
        </w:rPr>
        <w:t xml:space="preserve"> </w:t>
      </w:r>
      <w:r w:rsidR="008E4B45" w:rsidRPr="008E4B45">
        <w:rPr>
          <w:rFonts w:eastAsia="Arial Unicode MS"/>
          <w:b w:val="0"/>
          <w:sz w:val="24"/>
          <w:szCs w:val="24"/>
        </w:rPr>
        <w:t xml:space="preserve">We proposed to use </w:t>
      </w:r>
      <w:r w:rsidR="008E4B45" w:rsidRPr="008E4B45">
        <w:rPr>
          <w:rFonts w:eastAsia="Malgun Gothic" w:hint="eastAsia"/>
          <w:b w:val="0"/>
          <w:color w:val="000000"/>
          <w:sz w:val="24"/>
          <w:szCs w:val="24"/>
          <w:lang w:eastAsia="ko-KR"/>
        </w:rPr>
        <w:t>low</w:t>
      </w:r>
      <w:r w:rsidR="008E4B45" w:rsidRPr="008E4B45">
        <w:rPr>
          <w:rFonts w:eastAsia="Malgun Gothic"/>
          <w:b w:val="0"/>
          <w:color w:val="000000"/>
          <w:sz w:val="24"/>
          <w:szCs w:val="24"/>
          <w:lang w:eastAsia="ko-KR"/>
        </w:rPr>
        <w:t>-</w:t>
      </w:r>
      <w:r w:rsidR="008E4B45" w:rsidRPr="008E4B45">
        <w:rPr>
          <w:rFonts w:eastAsia="Malgun Gothic" w:hint="eastAsia"/>
          <w:b w:val="0"/>
          <w:color w:val="000000"/>
          <w:sz w:val="24"/>
          <w:szCs w:val="24"/>
          <w:lang w:eastAsia="ko-KR"/>
        </w:rPr>
        <w:t xml:space="preserve">cost renewable biomass </w:t>
      </w:r>
      <w:r w:rsidR="008E4B45" w:rsidRPr="008E4B45">
        <w:rPr>
          <w:rFonts w:eastAsia="Arial Unicode MS"/>
          <w:b w:val="0"/>
          <w:sz w:val="24"/>
          <w:szCs w:val="24"/>
        </w:rPr>
        <w:t xml:space="preserve">such as lignin as a potential precursor to </w:t>
      </w:r>
      <w:r w:rsidR="00587887" w:rsidRPr="008E4B45">
        <w:rPr>
          <w:rFonts w:eastAsia="Malgun Gothic" w:hint="eastAsia"/>
          <w:b w:val="0"/>
          <w:color w:val="000000"/>
          <w:sz w:val="24"/>
          <w:szCs w:val="24"/>
          <w:lang w:eastAsia="ko-KR"/>
        </w:rPr>
        <w:t>produce porous carbons</w:t>
      </w:r>
      <w:r w:rsidR="00587887" w:rsidRPr="008E4B45">
        <w:rPr>
          <w:rFonts w:eastAsia="Malgun Gothic"/>
          <w:b w:val="0"/>
          <w:color w:val="000000"/>
          <w:sz w:val="24"/>
          <w:szCs w:val="24"/>
          <w:lang w:eastAsia="ko-KR"/>
        </w:rPr>
        <w:t xml:space="preserve"> </w:t>
      </w:r>
      <w:r w:rsidR="008E4B45" w:rsidRPr="008E4B45">
        <w:rPr>
          <w:rFonts w:eastAsia="Malgun Gothic"/>
          <w:b w:val="0"/>
          <w:color w:val="000000"/>
          <w:sz w:val="24"/>
          <w:szCs w:val="24"/>
          <w:lang w:eastAsia="ko-KR"/>
        </w:rPr>
        <w:t xml:space="preserve">for </w:t>
      </w:r>
      <w:proofErr w:type="spellStart"/>
      <w:r w:rsidR="00587887" w:rsidRPr="008E4B45">
        <w:rPr>
          <w:rFonts w:eastAsia="Malgun Gothic"/>
          <w:b w:val="0"/>
          <w:color w:val="000000"/>
          <w:sz w:val="24"/>
          <w:szCs w:val="24"/>
          <w:lang w:eastAsia="ko-KR"/>
        </w:rPr>
        <w:t>Supercapacitor</w:t>
      </w:r>
      <w:proofErr w:type="spellEnd"/>
      <w:r w:rsidR="008E4B45" w:rsidRPr="008E4B45">
        <w:rPr>
          <w:rFonts w:eastAsia="Malgun Gothic"/>
          <w:b w:val="0"/>
          <w:color w:val="000000"/>
          <w:sz w:val="24"/>
          <w:szCs w:val="24"/>
          <w:lang w:eastAsia="ko-KR"/>
        </w:rPr>
        <w:t xml:space="preserve"> applications. </w:t>
      </w:r>
      <w:r w:rsidR="00133BB4" w:rsidRPr="008E4B45">
        <w:rPr>
          <w:b w:val="0"/>
          <w:color w:val="000000"/>
          <w:sz w:val="24"/>
          <w:szCs w:val="24"/>
        </w:rPr>
        <w:t xml:space="preserve">Lignin is a natural amorphous polymer that acts as an essential glue to give plants their structural integrity. It is a main component in </w:t>
      </w:r>
      <w:proofErr w:type="spellStart"/>
      <w:r w:rsidR="00133BB4" w:rsidRPr="008E4B45">
        <w:rPr>
          <w:b w:val="0"/>
          <w:color w:val="000000"/>
          <w:sz w:val="24"/>
          <w:szCs w:val="24"/>
        </w:rPr>
        <w:t>lignocellulosic</w:t>
      </w:r>
      <w:proofErr w:type="spellEnd"/>
      <w:r w:rsidR="00133BB4" w:rsidRPr="008E4B45">
        <w:rPr>
          <w:b w:val="0"/>
          <w:color w:val="000000"/>
          <w:sz w:val="24"/>
          <w:szCs w:val="24"/>
        </w:rPr>
        <w:t xml:space="preserve"> biomass (15-30% by weight, 40% by energy), together with cellulose and hemicelluloses.</w:t>
      </w:r>
      <w:r w:rsidR="008770AC">
        <w:rPr>
          <w:b w:val="0"/>
          <w:color w:val="000000"/>
          <w:sz w:val="24"/>
          <w:szCs w:val="24"/>
        </w:rPr>
        <w:t xml:space="preserve"> Simple carbonization of lignin results in carbons</w:t>
      </w:r>
      <w:r w:rsidR="00D91216">
        <w:rPr>
          <w:b w:val="0"/>
          <w:color w:val="000000"/>
          <w:sz w:val="24"/>
          <w:szCs w:val="24"/>
        </w:rPr>
        <w:t xml:space="preserve"> with very low surface area</w:t>
      </w:r>
      <w:r w:rsidR="00152A70">
        <w:rPr>
          <w:b w:val="0"/>
          <w:color w:val="000000"/>
          <w:sz w:val="24"/>
          <w:szCs w:val="24"/>
        </w:rPr>
        <w:t xml:space="preserve"> </w:t>
      </w:r>
      <w:r w:rsidR="00D91216">
        <w:rPr>
          <w:b w:val="0"/>
          <w:color w:val="000000"/>
          <w:sz w:val="24"/>
          <w:szCs w:val="24"/>
        </w:rPr>
        <w:t>that is</w:t>
      </w:r>
      <w:r w:rsidR="00152A70">
        <w:rPr>
          <w:b w:val="0"/>
          <w:color w:val="000000"/>
          <w:sz w:val="24"/>
          <w:szCs w:val="24"/>
        </w:rPr>
        <w:t xml:space="preserve"> not suitable for </w:t>
      </w:r>
      <w:proofErr w:type="spellStart"/>
      <w:r w:rsidR="00152A70">
        <w:rPr>
          <w:b w:val="0"/>
          <w:color w:val="000000"/>
          <w:sz w:val="24"/>
          <w:szCs w:val="24"/>
        </w:rPr>
        <w:t>supercapacitors</w:t>
      </w:r>
      <w:proofErr w:type="spellEnd"/>
      <w:r w:rsidR="00152A70">
        <w:rPr>
          <w:b w:val="0"/>
          <w:color w:val="000000"/>
          <w:sz w:val="24"/>
          <w:szCs w:val="24"/>
        </w:rPr>
        <w:t>. W</w:t>
      </w:r>
      <w:r w:rsidR="008770AC">
        <w:rPr>
          <w:b w:val="0"/>
          <w:color w:val="000000"/>
          <w:sz w:val="24"/>
          <w:szCs w:val="24"/>
        </w:rPr>
        <w:t xml:space="preserve">e investigated the </w:t>
      </w:r>
      <w:r w:rsidR="00152A70">
        <w:rPr>
          <w:b w:val="0"/>
          <w:color w:val="000000"/>
          <w:sz w:val="24"/>
          <w:szCs w:val="24"/>
        </w:rPr>
        <w:t xml:space="preserve">effect of molecular weights of the lignin precursors on </w:t>
      </w:r>
      <w:r w:rsidR="00D91216">
        <w:rPr>
          <w:b w:val="0"/>
          <w:color w:val="000000"/>
          <w:sz w:val="24"/>
          <w:szCs w:val="24"/>
        </w:rPr>
        <w:t xml:space="preserve">surface area and </w:t>
      </w:r>
      <w:r w:rsidR="00152A70">
        <w:rPr>
          <w:b w:val="0"/>
          <w:color w:val="000000"/>
          <w:sz w:val="24"/>
          <w:szCs w:val="24"/>
        </w:rPr>
        <w:t xml:space="preserve">energy densities. </w:t>
      </w:r>
      <w:r w:rsidR="00133BB4" w:rsidRPr="008E4B45">
        <w:rPr>
          <w:b w:val="0"/>
          <w:color w:val="000000"/>
          <w:sz w:val="24"/>
          <w:szCs w:val="24"/>
        </w:rPr>
        <w:t xml:space="preserve"> </w:t>
      </w:r>
      <w:r w:rsidR="008E4B45" w:rsidRPr="008E4B45">
        <w:rPr>
          <w:rFonts w:eastAsia="Malgun Gothic"/>
          <w:b w:val="0"/>
          <w:color w:val="000000"/>
          <w:sz w:val="24"/>
          <w:szCs w:val="24"/>
          <w:lang w:eastAsia="ko-KR"/>
        </w:rPr>
        <w:t>We</w:t>
      </w:r>
      <w:r w:rsidR="00587887" w:rsidRPr="008E4B45">
        <w:rPr>
          <w:b w:val="0"/>
          <w:color w:val="000000"/>
          <w:sz w:val="24"/>
          <w:szCs w:val="24"/>
        </w:rPr>
        <w:t xml:space="preserve"> will present our results o</w:t>
      </w:r>
      <w:r w:rsidR="00152A70">
        <w:rPr>
          <w:b w:val="0"/>
          <w:color w:val="000000"/>
          <w:sz w:val="24"/>
          <w:szCs w:val="24"/>
        </w:rPr>
        <w:t>n</w:t>
      </w:r>
      <w:r w:rsidR="00587887" w:rsidRPr="008E4B45">
        <w:rPr>
          <w:b w:val="0"/>
          <w:color w:val="000000"/>
          <w:sz w:val="24"/>
          <w:szCs w:val="24"/>
        </w:rPr>
        <w:t xml:space="preserve"> the carbon residues obtained from </w:t>
      </w:r>
      <w:r w:rsidR="00587887" w:rsidRPr="008E4B45">
        <w:rPr>
          <w:rFonts w:eastAsia="Malgun Gothic"/>
          <w:b w:val="0"/>
          <w:color w:val="000000"/>
          <w:sz w:val="24"/>
          <w:szCs w:val="24"/>
          <w:lang w:eastAsia="ko-KR"/>
        </w:rPr>
        <w:t>three different lignin precursors that differ in molecular weights</w:t>
      </w:r>
      <w:r w:rsidR="00152A70">
        <w:rPr>
          <w:rFonts w:eastAsia="Malgun Gothic"/>
          <w:b w:val="0"/>
          <w:color w:val="000000"/>
          <w:sz w:val="24"/>
          <w:szCs w:val="24"/>
          <w:lang w:eastAsia="ko-KR"/>
        </w:rPr>
        <w:t xml:space="preserve"> and their electrochemical performances.</w:t>
      </w:r>
      <w:r w:rsidR="00152A70" w:rsidRPr="00133BB4">
        <w:rPr>
          <w:rFonts w:eastAsia="Malgun Gothic"/>
          <w:i/>
          <w:color w:val="000000"/>
          <w:sz w:val="24"/>
          <w:lang w:eastAsia="ko-KR"/>
        </w:rPr>
        <w:t xml:space="preserve"> </w:t>
      </w:r>
    </w:p>
    <w:p w:rsidR="00E27209" w:rsidRDefault="00E27209" w:rsidP="00152A70">
      <w:pPr>
        <w:pStyle w:val="Heading3"/>
        <w:shd w:val="clear" w:color="auto" w:fill="FFFFFF"/>
        <w:spacing w:before="0" w:beforeAutospacing="0" w:after="0" w:afterAutospacing="0"/>
        <w:jc w:val="both"/>
        <w:rPr>
          <w:rFonts w:eastAsia="Malgun Gothic"/>
          <w:i/>
          <w:color w:val="000000"/>
          <w:sz w:val="24"/>
          <w:lang w:eastAsia="ko-KR"/>
        </w:rPr>
      </w:pPr>
    </w:p>
    <w:p w:rsidR="00E27209" w:rsidRDefault="00E27209" w:rsidP="00152A70">
      <w:pPr>
        <w:pStyle w:val="Heading3"/>
        <w:shd w:val="clear" w:color="auto" w:fill="FFFFFF"/>
        <w:spacing w:before="0" w:beforeAutospacing="0" w:after="0" w:afterAutospacing="0"/>
        <w:jc w:val="both"/>
        <w:rPr>
          <w:rFonts w:eastAsia="Malgun Gothic"/>
          <w:i/>
          <w:color w:val="000000"/>
          <w:sz w:val="24"/>
          <w:lang w:eastAsia="ko-KR"/>
        </w:rPr>
      </w:pPr>
      <w:r w:rsidRPr="00E27209">
        <w:rPr>
          <w:rFonts w:eastAsia="Malgun Gothic"/>
          <w:i/>
          <w:noProof/>
          <w:color w:val="000000"/>
          <w:sz w:val="24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4940135" cy="1727860"/>
                <wp:effectExtent l="0" t="0" r="13335" b="2476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135" cy="1727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7209" w:rsidRDefault="00E27209">
                            <w:r>
                              <w:rPr>
                                <w:noProof/>
                                <w:lang w:val="en-US" w:eastAsia="en-US"/>
                              </w:rPr>
                              <w:drawing>
                                <wp:inline distT="0" distB="0" distL="0" distR="0">
                                  <wp:extent cx="4603211" cy="1335974"/>
                                  <wp:effectExtent l="0" t="0" r="6985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Angew TOC final.jpg"/>
                                          <pic:cNvPicPr/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620134" cy="13408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>Figure 1: Extraction of ligin with three different molecular weights and corresponding CV plots.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389pt;height:136.0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">
                <v:textbox>
                  <w:txbxContent>
                    <w:p w:rsidR="00E27209" w:rsidRDefault="00E27209">
                      <w:r>
                        <w:rPr>
                          <w:noProof/>
                          <w:lang w:val="en-US" w:eastAsia="en-US"/>
                        </w:rPr>
                        <w:drawing>
                          <wp:inline distT="0" distB="0" distL="0" distR="0">
                            <wp:extent cx="4603211" cy="1335974"/>
                            <wp:effectExtent l="0" t="0" r="6985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Angew TOC final.jpg"/>
                                    <pic:cNvPicPr/>
                                  </pic:nvPicPr>
                                  <pic:blipFill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620134" cy="13408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>Figure 1: Extraction of ligin with three different molecular weights and corresponding CV plots.</w:t>
                      </w:r>
                    </w:p>
                  </w:txbxContent>
                </v:textbox>
              </v:shape>
            </w:pict>
          </mc:Fallback>
        </mc:AlternateContent>
      </w:r>
    </w:p>
    <w:p w:rsidR="001C6663" w:rsidRPr="00133BB4" w:rsidRDefault="001C6663" w:rsidP="001C6663">
      <w:pPr>
        <w:pStyle w:val="Heading3"/>
        <w:shd w:val="clear" w:color="auto" w:fill="FFFFFF"/>
        <w:spacing w:before="0" w:beforeAutospacing="0" w:after="0" w:afterAutospacing="0"/>
        <w:jc w:val="center"/>
        <w:rPr>
          <w:rFonts w:eastAsia="Malgun Gothic"/>
          <w:b w:val="0"/>
          <w:i/>
          <w:color w:val="000000"/>
          <w:sz w:val="24"/>
          <w:szCs w:val="24"/>
          <w:lang w:eastAsia="ko-KR"/>
        </w:rPr>
      </w:pPr>
    </w:p>
    <w:p w:rsidR="00A4069D" w:rsidRDefault="00A4069D" w:rsidP="00133BB4">
      <w:pPr>
        <w:jc w:val="center"/>
      </w:pPr>
    </w:p>
    <w:sectPr w:rsidR="00A406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BB4"/>
    <w:rsid w:val="00133BB4"/>
    <w:rsid w:val="00152A70"/>
    <w:rsid w:val="001C6663"/>
    <w:rsid w:val="00337624"/>
    <w:rsid w:val="003E5D46"/>
    <w:rsid w:val="003F06AB"/>
    <w:rsid w:val="00587887"/>
    <w:rsid w:val="0059778D"/>
    <w:rsid w:val="008770AC"/>
    <w:rsid w:val="008E4B45"/>
    <w:rsid w:val="00A4069D"/>
    <w:rsid w:val="00D91216"/>
    <w:rsid w:val="00E27209"/>
    <w:rsid w:val="00EA66D2"/>
    <w:rsid w:val="00F7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BB4"/>
    <w:pPr>
      <w:spacing w:after="0" w:line="240" w:lineRule="auto"/>
    </w:pPr>
    <w:rPr>
      <w:rFonts w:ascii="Times New Roman" w:eastAsia="MS Mincho" w:hAnsi="Times New Roman" w:cs="Times New Roman"/>
      <w:sz w:val="20"/>
      <w:szCs w:val="24"/>
      <w:lang w:val="de-DE" w:eastAsia="ja-JP"/>
    </w:rPr>
  </w:style>
  <w:style w:type="paragraph" w:styleId="Heading3">
    <w:name w:val="heading 3"/>
    <w:basedOn w:val="Normal"/>
    <w:link w:val="Heading3Char"/>
    <w:uiPriority w:val="9"/>
    <w:qFormat/>
    <w:rsid w:val="00133BB4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제목1"/>
    <w:basedOn w:val="Normal"/>
    <w:next w:val="Normal"/>
    <w:rsid w:val="00133BB4"/>
    <w:pPr>
      <w:spacing w:before="240" w:after="240" w:line="230" w:lineRule="exact"/>
    </w:pPr>
    <w:rPr>
      <w:b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sid w:val="00133BB4"/>
    <w:rPr>
      <w:rFonts w:ascii="Times New Roman" w:eastAsia="Times New Roman" w:hAnsi="Times New Roman" w:cs="Times New Roman"/>
      <w:b/>
      <w:bCs/>
      <w:sz w:val="27"/>
      <w:szCs w:val="27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66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663"/>
    <w:rPr>
      <w:rFonts w:ascii="Tahoma" w:eastAsia="MS Mincho" w:hAnsi="Tahoma" w:cs="Tahoma"/>
      <w:sz w:val="16"/>
      <w:szCs w:val="16"/>
      <w:lang w:val="de-DE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BB4"/>
    <w:pPr>
      <w:spacing w:after="0" w:line="240" w:lineRule="auto"/>
    </w:pPr>
    <w:rPr>
      <w:rFonts w:ascii="Times New Roman" w:eastAsia="MS Mincho" w:hAnsi="Times New Roman" w:cs="Times New Roman"/>
      <w:sz w:val="20"/>
      <w:szCs w:val="24"/>
      <w:lang w:val="de-DE" w:eastAsia="ja-JP"/>
    </w:rPr>
  </w:style>
  <w:style w:type="paragraph" w:styleId="Heading3">
    <w:name w:val="heading 3"/>
    <w:basedOn w:val="Normal"/>
    <w:link w:val="Heading3Char"/>
    <w:uiPriority w:val="9"/>
    <w:qFormat/>
    <w:rsid w:val="00133BB4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제목1"/>
    <w:basedOn w:val="Normal"/>
    <w:next w:val="Normal"/>
    <w:rsid w:val="00133BB4"/>
    <w:pPr>
      <w:spacing w:before="240" w:after="240" w:line="230" w:lineRule="exact"/>
    </w:pPr>
    <w:rPr>
      <w:b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sid w:val="00133BB4"/>
    <w:rPr>
      <w:rFonts w:ascii="Times New Roman" w:eastAsia="Times New Roman" w:hAnsi="Times New Roman" w:cs="Times New Roman"/>
      <w:b/>
      <w:bCs/>
      <w:sz w:val="27"/>
      <w:szCs w:val="27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66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663"/>
    <w:rPr>
      <w:rFonts w:ascii="Tahoma" w:eastAsia="MS Mincho" w:hAnsi="Tahoma" w:cs="Tahoma"/>
      <w:sz w:val="16"/>
      <w:szCs w:val="16"/>
      <w:lang w:val="de-DE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PNNL</Company>
  <LinksUpToDate>false</LinksUpToDate>
  <CharactersWithSpaces>1576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16</cp:revision>
  <dcterms:created xsi:type="dcterms:W3CDTF">2014-05-05T23:10:00Z</dcterms:created>
  <dcterms:modified xsi:type="dcterms:W3CDTF">2014-05-07T20:00:00Z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yle">
    <vt:lpwstr>american-chemical-society</vt:lpwstr>
  </property>
</Properties>
</file>