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DD2" w:rsidRDefault="00AD0DD2" w:rsidP="00AD0DD2">
      <w:pPr>
        <w:jc w:val="center"/>
        <w:rPr>
          <w:b/>
        </w:rPr>
      </w:pPr>
      <w:r>
        <w:rPr>
          <w:b/>
        </w:rPr>
        <w:t xml:space="preserve">Continuous Operation of a </w:t>
      </w:r>
      <w:proofErr w:type="spellStart"/>
      <w:r>
        <w:rPr>
          <w:b/>
        </w:rPr>
        <w:t>Hydothermal</w:t>
      </w:r>
      <w:proofErr w:type="spellEnd"/>
      <w:r>
        <w:rPr>
          <w:b/>
        </w:rPr>
        <w:t xml:space="preserve"> </w:t>
      </w:r>
      <w:proofErr w:type="spellStart"/>
      <w:r>
        <w:rPr>
          <w:b/>
        </w:rPr>
        <w:t>Biorefinery</w:t>
      </w:r>
      <w:proofErr w:type="spellEnd"/>
    </w:p>
    <w:p w:rsidR="00AD0DD2" w:rsidRPr="00FA2D09" w:rsidRDefault="00AD0DD2" w:rsidP="00AD0DD2">
      <w:pPr>
        <w:jc w:val="center"/>
        <w:rPr>
          <w:b/>
        </w:rPr>
      </w:pPr>
      <w:r>
        <w:rPr>
          <w:b/>
        </w:rPr>
        <w:t xml:space="preserve">An Abstract for the 2014 National Meeting of </w:t>
      </w:r>
      <w:proofErr w:type="spellStart"/>
      <w:r>
        <w:rPr>
          <w:b/>
        </w:rPr>
        <w:t>AIChE</w:t>
      </w:r>
      <w:proofErr w:type="spellEnd"/>
    </w:p>
    <w:p w:rsidR="00AD0DD2" w:rsidRPr="00FA2D09" w:rsidRDefault="00AD0DD2" w:rsidP="00AD0DD2">
      <w:pPr>
        <w:jc w:val="center"/>
        <w:rPr>
          <w:b/>
        </w:rPr>
      </w:pPr>
      <w:r w:rsidRPr="00FA2D09">
        <w:rPr>
          <w:b/>
        </w:rPr>
        <w:t>Michael T. Timko</w:t>
      </w:r>
      <w:r>
        <w:rPr>
          <w:b/>
        </w:rPr>
        <w:t xml:space="preserve"> and Geoffrey Tompsett</w:t>
      </w:r>
    </w:p>
    <w:p w:rsidR="00AD0DD2" w:rsidRPr="00FA2D09" w:rsidRDefault="00AD0DD2" w:rsidP="00AD0DD2">
      <w:pPr>
        <w:jc w:val="center"/>
        <w:rPr>
          <w:b/>
        </w:rPr>
      </w:pPr>
      <w:r w:rsidRPr="00FA2D09">
        <w:rPr>
          <w:b/>
        </w:rPr>
        <w:t>Worcester Polytechnic Institute</w:t>
      </w:r>
    </w:p>
    <w:p w:rsidR="00AD0DD2" w:rsidRDefault="00AD0DD2" w:rsidP="00AD0DD2">
      <w:pPr>
        <w:jc w:val="both"/>
      </w:pPr>
      <w:r>
        <w:t xml:space="preserve">Conversion of biomass feeds into fuels and chemicals requires breaking down their recalcitrant components; strategies including high temperatures, acids, alkali, oxidants, liquid ammonia, and ionic liquids have been evaluated.  To date, the majority of these techniques have focused on batch-wise processing.  </w:t>
      </w:r>
      <w:r w:rsidR="00AC006E">
        <w:t>Many of these techniques</w:t>
      </w:r>
      <w:r>
        <w:t xml:space="preserve"> are either extremely water intensive or require expensive reactants that must be removed prior to downstream biochemical or </w:t>
      </w:r>
      <w:proofErr w:type="spellStart"/>
      <w:r>
        <w:t>thermocatalytic</w:t>
      </w:r>
      <w:proofErr w:type="spellEnd"/>
      <w:r>
        <w:t xml:space="preserve"> upgrading. Continuous-flow processing of biomass slurries in a hydrothermal reactor may afford advantages in terms of water and reactant use.  Many engineering challenges remain unsolved, including how to deal with reactor plugging, whole biomass utilization, and high-pressure slurry pumping.  Here, we have focused our efforts on developing a continuous flow reactor to achieve rapid heating rates in a turbulent mixer to break-up the lignocellulosic matrix, followed by reaction in a secondary zone to maximize simple carbohydrate production.  The two-reaction configuration aims to reduce or eliminate degradation of the primary simple carbohydrate products by carefully controlling their residence times in the high-temperature zone. We present time-on-stream data for the prototype reactor with different model feeds.  Data include temperature performance of the reactor and chemical analysis of the products using liquid chromatography and for total organic carbon content.  We compare continuous-reactor results with similar results obtained in a high-temperature batch reactor where we test the effects of particle size and heating rate on the characteristics of the bio-oil product.</w:t>
      </w:r>
    </w:p>
    <w:p w:rsidR="004359F6" w:rsidRDefault="004359F6"/>
    <w:sectPr w:rsidR="004359F6" w:rsidSect="004359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0DD2"/>
    <w:rsid w:val="00017290"/>
    <w:rsid w:val="004359F6"/>
    <w:rsid w:val="00AC006E"/>
    <w:rsid w:val="00AD0D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D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Massachusetts Institute of Technology</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Timko</dc:creator>
  <cp:keywords/>
  <dc:description/>
  <cp:lastModifiedBy>Michael Timko</cp:lastModifiedBy>
  <cp:revision>2</cp:revision>
  <dcterms:created xsi:type="dcterms:W3CDTF">2014-05-05T17:40:00Z</dcterms:created>
  <dcterms:modified xsi:type="dcterms:W3CDTF">2014-05-05T17:52:00Z</dcterms:modified>
</cp:coreProperties>
</file>