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435" w:rsidRDefault="00BD1435" w:rsidP="00BD1435">
      <w:pPr>
        <w:wordWrap/>
        <w:adjustRightInd w:val="0"/>
        <w:spacing w:line="480" w:lineRule="auto"/>
        <w:contextualSpacing/>
        <w:jc w:val="center"/>
        <w:rPr>
          <w:rFonts w:ascii="Times New Roman" w:hAnsi="Times New Roman"/>
          <w:b/>
          <w:sz w:val="28"/>
          <w:szCs w:val="24"/>
        </w:rPr>
      </w:pPr>
      <w:r>
        <w:rPr>
          <w:rFonts w:ascii="Times New Roman" w:hAnsi="Times New Roman" w:hint="eastAsia"/>
          <w:b/>
          <w:sz w:val="28"/>
          <w:szCs w:val="24"/>
        </w:rPr>
        <w:t>D</w:t>
      </w:r>
      <w:r>
        <w:rPr>
          <w:rFonts w:ascii="Times New Roman" w:hAnsi="Times New Roman"/>
          <w:b/>
          <w:sz w:val="28"/>
          <w:szCs w:val="24"/>
        </w:rPr>
        <w:t>esign and Optimization of Low-CO</w:t>
      </w:r>
      <w:r w:rsidRPr="00584CBE">
        <w:rPr>
          <w:rFonts w:ascii="Times New Roman" w:hAnsi="Times New Roman"/>
          <w:b/>
          <w:sz w:val="28"/>
          <w:szCs w:val="24"/>
          <w:vertAlign w:val="subscript"/>
        </w:rPr>
        <w:t>2</w:t>
      </w:r>
      <w:r>
        <w:rPr>
          <w:rFonts w:ascii="Times New Roman" w:hAnsi="Times New Roman"/>
          <w:b/>
          <w:sz w:val="28"/>
          <w:szCs w:val="24"/>
        </w:rPr>
        <w:t xml:space="preserve">-Emitting Organic Rankine Cycle for Liquefied Natural Gas Cold Exergy Recovery </w:t>
      </w:r>
    </w:p>
    <w:p w:rsidR="00EF008D" w:rsidRPr="00EF53BC" w:rsidRDefault="00EF008D" w:rsidP="00EF008D">
      <w:pPr>
        <w:wordWrap/>
        <w:adjustRightInd w:val="0"/>
        <w:spacing w:line="480" w:lineRule="auto"/>
        <w:contextualSpacing/>
        <w:jc w:val="center"/>
        <w:rPr>
          <w:rFonts w:ascii="Times New Roman" w:hAnsi="Times New Roman"/>
          <w:sz w:val="24"/>
          <w:szCs w:val="24"/>
        </w:rPr>
      </w:pPr>
      <w:r w:rsidRPr="00734E6A">
        <w:rPr>
          <w:rFonts w:ascii="Times New Roman" w:hAnsi="Times New Roman"/>
          <w:sz w:val="24"/>
          <w:szCs w:val="24"/>
        </w:rPr>
        <w:t>Ung Lee</w:t>
      </w:r>
      <w:r w:rsidRPr="00734E6A">
        <w:rPr>
          <w:rFonts w:ascii="Times New Roman" w:hAnsi="Times New Roman"/>
          <w:sz w:val="24"/>
          <w:szCs w:val="24"/>
          <w:vertAlign w:val="superscript"/>
        </w:rPr>
        <w:t>1</w:t>
      </w:r>
      <w:r w:rsidRPr="00734E6A">
        <w:rPr>
          <w:rFonts w:ascii="Times New Roman" w:hAnsi="Times New Roman"/>
          <w:sz w:val="24"/>
          <w:szCs w:val="24"/>
        </w:rPr>
        <w:t xml:space="preserve">, </w:t>
      </w:r>
      <w:r w:rsidR="00BD1435">
        <w:rPr>
          <w:rFonts w:ascii="Times New Roman" w:hAnsi="Times New Roman"/>
          <w:sz w:val="24"/>
          <w:szCs w:val="24"/>
        </w:rPr>
        <w:t>Kyeongsu Kim</w:t>
      </w:r>
      <w:r w:rsidRPr="00734E6A">
        <w:rPr>
          <w:rFonts w:ascii="Times New Roman" w:hAnsi="Times New Roman"/>
          <w:sz w:val="24"/>
          <w:szCs w:val="24"/>
          <w:vertAlign w:val="superscript"/>
        </w:rPr>
        <w:t>1</w:t>
      </w:r>
      <w:r>
        <w:rPr>
          <w:rFonts w:ascii="Times New Roman" w:hAnsi="Times New Roman"/>
          <w:sz w:val="24"/>
          <w:szCs w:val="24"/>
        </w:rPr>
        <w:t xml:space="preserve">, </w:t>
      </w:r>
      <w:r w:rsidRPr="00734E6A">
        <w:rPr>
          <w:rFonts w:ascii="Times New Roman" w:hAnsi="Times New Roman"/>
          <w:sz w:val="24"/>
          <w:szCs w:val="24"/>
        </w:rPr>
        <w:t>Chonghun Han</w:t>
      </w:r>
      <w:r w:rsidRPr="00734E6A">
        <w:rPr>
          <w:rFonts w:ascii="Times New Roman" w:hAnsi="Times New Roman"/>
          <w:sz w:val="24"/>
          <w:szCs w:val="24"/>
          <w:vertAlign w:val="superscript"/>
        </w:rPr>
        <w:t>1*</w:t>
      </w:r>
    </w:p>
    <w:p w:rsidR="00EF008D" w:rsidRDefault="00EF008D" w:rsidP="00EF008D">
      <w:pPr>
        <w:wordWrap/>
        <w:adjustRightInd w:val="0"/>
        <w:spacing w:line="480" w:lineRule="auto"/>
        <w:contextualSpacing/>
        <w:jc w:val="center"/>
        <w:rPr>
          <w:rFonts w:ascii="Times New Roman" w:hAnsi="Times New Roman"/>
          <w:i/>
          <w:sz w:val="24"/>
          <w:szCs w:val="24"/>
        </w:rPr>
      </w:pPr>
      <w:r w:rsidRPr="00EF008D">
        <w:rPr>
          <w:rFonts w:ascii="Times New Roman" w:hAnsi="Times New Roman"/>
          <w:i/>
          <w:sz w:val="24"/>
          <w:szCs w:val="24"/>
          <w:vertAlign w:val="superscript"/>
        </w:rPr>
        <w:t>1</w:t>
      </w:r>
      <w:r w:rsidRPr="00EF008D">
        <w:rPr>
          <w:rFonts w:ascii="Times New Roman" w:hAnsi="Times New Roman"/>
          <w:i/>
          <w:sz w:val="24"/>
          <w:szCs w:val="24"/>
        </w:rPr>
        <w:t>School of Chemical and Biological Engineering, Seoul National University,</w:t>
      </w:r>
    </w:p>
    <w:p w:rsidR="00EF008D" w:rsidRPr="00EF008D" w:rsidRDefault="00EF008D" w:rsidP="00EF008D">
      <w:pPr>
        <w:wordWrap/>
        <w:adjustRightInd w:val="0"/>
        <w:spacing w:line="480" w:lineRule="auto"/>
        <w:contextualSpacing/>
        <w:jc w:val="center"/>
        <w:rPr>
          <w:rFonts w:ascii="Times New Roman" w:hAnsi="Times New Roman"/>
          <w:i/>
          <w:sz w:val="24"/>
          <w:szCs w:val="24"/>
        </w:rPr>
      </w:pPr>
    </w:p>
    <w:p w:rsidR="00E92324" w:rsidRDefault="00BD1435" w:rsidP="00BD1435">
      <w:pPr>
        <w:ind w:firstLineChars="50" w:firstLine="120"/>
        <w:jc w:val="left"/>
        <w:rPr>
          <w:rFonts w:ascii="Times New Roman" w:hAnsi="Times New Roman"/>
          <w:sz w:val="24"/>
          <w:szCs w:val="24"/>
        </w:rPr>
      </w:pPr>
      <w:r w:rsidRPr="00BD1435">
        <w:rPr>
          <w:rFonts w:ascii="Times New Roman" w:hAnsi="Times New Roman"/>
          <w:sz w:val="24"/>
          <w:szCs w:val="24"/>
        </w:rPr>
        <w:t>The depletion of fossil fuel due to increasing energy consumption has been accelerating, thus the energy crisis is becoming more severe. Moreover, the need to reduce fossil fuel consumption has been attracting more attention recently due to concerns related to global warming. Pulverized coal (PC) power plants are one of the largest consumers of fossil fuel, and they produce a significant amount of CO</w:t>
      </w:r>
      <w:r w:rsidRPr="00405420">
        <w:rPr>
          <w:rFonts w:ascii="Times New Roman" w:hAnsi="Times New Roman"/>
          <w:sz w:val="24"/>
          <w:szCs w:val="24"/>
          <w:vertAlign w:val="subscript"/>
        </w:rPr>
        <w:t>2</w:t>
      </w:r>
      <w:r w:rsidRPr="00BD1435">
        <w:rPr>
          <w:rFonts w:ascii="Times New Roman" w:hAnsi="Times New Roman"/>
          <w:sz w:val="24"/>
          <w:szCs w:val="24"/>
        </w:rPr>
        <w:t>. Therefore, much research has been focused on improving the efficiency of PC power plants and reducing their CO</w:t>
      </w:r>
      <w:r w:rsidRPr="00405420">
        <w:rPr>
          <w:rFonts w:ascii="Times New Roman" w:hAnsi="Times New Roman"/>
          <w:sz w:val="24"/>
          <w:szCs w:val="24"/>
          <w:vertAlign w:val="subscript"/>
        </w:rPr>
        <w:t>2</w:t>
      </w:r>
      <w:r w:rsidRPr="00BD1435">
        <w:rPr>
          <w:rFonts w:ascii="Times New Roman" w:hAnsi="Times New Roman"/>
          <w:sz w:val="24"/>
          <w:szCs w:val="24"/>
        </w:rPr>
        <w:t xml:space="preserve"> emission in order to address both fossil fuel depletion and greenhouse gas reduction.</w:t>
      </w:r>
      <w:r w:rsidRPr="00BD1435">
        <w:t xml:space="preserve"> </w:t>
      </w:r>
      <w:r w:rsidRPr="00BD1435">
        <w:rPr>
          <w:rFonts w:ascii="Times New Roman" w:hAnsi="Times New Roman"/>
          <w:sz w:val="24"/>
          <w:szCs w:val="24"/>
        </w:rPr>
        <w:t>The installation of the bottoming cycle in conventional power plants has recently gained attention. The combined cycle is able to produce additional power without consuming fossil fuel through utilization of waste heat generated from the steam cycle. Although many studies have focused merely on improving the efficiency of the topping cycle, it is also important to improve the bottoming cycle’s efficiency in order to produce more power from power plants. Because the waste heat from the steam cycle (the temperature of which is too low to be utilized for other purposes within the steam cycle) is used, the combined cycle can produce more power without generating additional CO</w:t>
      </w:r>
      <w:r w:rsidRPr="00405420">
        <w:rPr>
          <w:rFonts w:ascii="Times New Roman" w:hAnsi="Times New Roman"/>
          <w:sz w:val="24"/>
          <w:szCs w:val="24"/>
          <w:vertAlign w:val="subscript"/>
        </w:rPr>
        <w:t>2</w:t>
      </w:r>
      <w:r w:rsidRPr="00BD1435">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rPr>
        <w:t xml:space="preserve">There have been </w:t>
      </w:r>
      <w:r w:rsidRPr="002D1A85">
        <w:rPr>
          <w:rFonts w:ascii="Times New Roman" w:hAnsi="Times New Roman"/>
          <w:sz w:val="24"/>
          <w:szCs w:val="24"/>
        </w:rPr>
        <w:t xml:space="preserve">other </w:t>
      </w:r>
      <w:r>
        <w:rPr>
          <w:rFonts w:ascii="Times New Roman" w:hAnsi="Times New Roman"/>
          <w:sz w:val="24"/>
          <w:szCs w:val="24"/>
        </w:rPr>
        <w:t>noteworthy studies performed</w:t>
      </w:r>
      <w:r w:rsidRPr="002D1A85">
        <w:rPr>
          <w:rFonts w:ascii="Times New Roman" w:hAnsi="Times New Roman"/>
          <w:sz w:val="24"/>
          <w:szCs w:val="24"/>
        </w:rPr>
        <w:t xml:space="preserve"> to recover low</w:t>
      </w:r>
      <w:r>
        <w:rPr>
          <w:rFonts w:ascii="Times New Roman" w:hAnsi="Times New Roman"/>
          <w:sz w:val="24"/>
          <w:szCs w:val="24"/>
        </w:rPr>
        <w:t>-</w:t>
      </w:r>
      <w:r w:rsidRPr="002D1A85">
        <w:rPr>
          <w:rFonts w:ascii="Times New Roman" w:hAnsi="Times New Roman"/>
          <w:sz w:val="24"/>
          <w:szCs w:val="24"/>
        </w:rPr>
        <w:t xml:space="preserve">grade heat using liquefied natural gas </w:t>
      </w:r>
      <w:r>
        <w:rPr>
          <w:rFonts w:ascii="Times New Roman" w:hAnsi="Times New Roman"/>
          <w:sz w:val="24"/>
          <w:szCs w:val="24"/>
        </w:rPr>
        <w:t xml:space="preserve">(LNG) </w:t>
      </w:r>
      <w:r w:rsidRPr="002D1A85">
        <w:rPr>
          <w:rFonts w:ascii="Times New Roman" w:hAnsi="Times New Roman"/>
          <w:sz w:val="24"/>
          <w:szCs w:val="24"/>
        </w:rPr>
        <w:t xml:space="preserve">as a heat sink. In this way, the temperature difference between </w:t>
      </w:r>
      <w:r>
        <w:rPr>
          <w:rFonts w:ascii="Times New Roman" w:hAnsi="Times New Roman"/>
          <w:sz w:val="24"/>
          <w:szCs w:val="24"/>
        </w:rPr>
        <w:t xml:space="preserve">the </w:t>
      </w:r>
      <w:r w:rsidRPr="002D1A85">
        <w:rPr>
          <w:rFonts w:ascii="Times New Roman" w:hAnsi="Times New Roman"/>
          <w:sz w:val="24"/>
          <w:szCs w:val="24"/>
        </w:rPr>
        <w:t>heat source an</w:t>
      </w:r>
      <w:r>
        <w:rPr>
          <w:rFonts w:ascii="Times New Roman" w:hAnsi="Times New Roman"/>
          <w:sz w:val="24"/>
          <w:szCs w:val="24"/>
        </w:rPr>
        <w:t>d the heat sink is increased because the condensation of the working fluid takes place at a point lower than ambient temperature.</w:t>
      </w:r>
      <w:r w:rsidRPr="002D1A85">
        <w:rPr>
          <w:rFonts w:ascii="Times New Roman" w:hAnsi="Times New Roman"/>
          <w:sz w:val="24"/>
          <w:szCs w:val="24"/>
        </w:rPr>
        <w:t xml:space="preserve"> Consequently, the bottoming cycle can </w:t>
      </w:r>
      <w:r>
        <w:rPr>
          <w:rFonts w:ascii="Times New Roman" w:hAnsi="Times New Roman"/>
          <w:sz w:val="24"/>
          <w:szCs w:val="24"/>
        </w:rPr>
        <w:t>produce more power with the same heat source utilization</w:t>
      </w:r>
      <w:r w:rsidRPr="002D1A85">
        <w:rPr>
          <w:rFonts w:ascii="Times New Roman" w:hAnsi="Times New Roman"/>
          <w:sz w:val="24"/>
          <w:szCs w:val="24"/>
        </w:rPr>
        <w:t>.</w:t>
      </w:r>
      <w:r>
        <w:rPr>
          <w:rFonts w:ascii="Times New Roman" w:hAnsi="Times New Roman"/>
          <w:sz w:val="24"/>
          <w:szCs w:val="24"/>
        </w:rPr>
        <w:t xml:space="preserve"> </w:t>
      </w:r>
    </w:p>
    <w:p w:rsidR="00BD1435" w:rsidRPr="00BD1435" w:rsidRDefault="00BD1435" w:rsidP="00BD1435">
      <w:pPr>
        <w:ind w:firstLineChars="50" w:firstLine="120"/>
        <w:jc w:val="left"/>
        <w:rPr>
          <w:rFonts w:ascii="Times New Roman" w:hAnsi="Times New Roman"/>
          <w:sz w:val="24"/>
          <w:szCs w:val="24"/>
        </w:rPr>
      </w:pPr>
      <w:r w:rsidRPr="00BD1435">
        <w:rPr>
          <w:rFonts w:ascii="Times New Roman" w:hAnsi="Times New Roman"/>
          <w:sz w:val="24"/>
          <w:szCs w:val="24"/>
        </w:rPr>
        <w:t>In this work, a multicomponent combined Rankine cycle utilizing LN</w:t>
      </w:r>
      <w:r w:rsidR="00754110">
        <w:rPr>
          <w:rFonts w:ascii="Times New Roman" w:hAnsi="Times New Roman"/>
          <w:sz w:val="24"/>
          <w:szCs w:val="24"/>
        </w:rPr>
        <w:t>G cryogenic exergy was proposed</w:t>
      </w:r>
      <w:r w:rsidRPr="00BD1435">
        <w:rPr>
          <w:rFonts w:ascii="Times New Roman" w:hAnsi="Times New Roman"/>
          <w:sz w:val="24"/>
          <w:szCs w:val="24"/>
        </w:rPr>
        <w:t>. Since LNG is a multicomponent mixture comprised of more than eight components, the evaporation process of L</w:t>
      </w:r>
      <w:bookmarkStart w:id="0" w:name="_GoBack"/>
      <w:bookmarkEnd w:id="0"/>
      <w:r w:rsidRPr="00BD1435">
        <w:rPr>
          <w:rFonts w:ascii="Times New Roman" w:hAnsi="Times New Roman"/>
          <w:sz w:val="24"/>
          <w:szCs w:val="24"/>
        </w:rPr>
        <w:t xml:space="preserve">NG is not isothermal. Therefore, the exergy recovery of the LNG through the ORC working fluid can be significantly improved by utilizing multicomponent working fluids, which have a nonisothermal condensing nature. Also, the proposed ORC is designed to recover the entire evaporation enthalpy of LNG by using a multicomponent working fluid to maximize the power generation within the cycle. To illustrate the performance of the ternary mixture ORC quantitatively, ORCs with single and binary components were also examined in this study. </w:t>
      </w:r>
    </w:p>
    <w:p w:rsidR="00BD1435" w:rsidRPr="00BD1435" w:rsidRDefault="00BD1435" w:rsidP="00BD1435">
      <w:pPr>
        <w:ind w:firstLineChars="50" w:firstLine="120"/>
        <w:jc w:val="left"/>
        <w:rPr>
          <w:rFonts w:ascii="Times New Roman" w:hAnsi="Times New Roman"/>
          <w:sz w:val="24"/>
          <w:szCs w:val="24"/>
        </w:rPr>
      </w:pPr>
      <w:r w:rsidRPr="00BD1435">
        <w:rPr>
          <w:rFonts w:ascii="Times New Roman" w:hAnsi="Times New Roman"/>
          <w:sz w:val="24"/>
          <w:szCs w:val="24"/>
        </w:rPr>
        <w:t>Another important point of this study is the integration of the ORC with a PC power plant with a CO</w:t>
      </w:r>
      <w:r w:rsidRPr="00405420">
        <w:rPr>
          <w:rFonts w:ascii="Times New Roman" w:hAnsi="Times New Roman"/>
          <w:sz w:val="24"/>
          <w:szCs w:val="24"/>
          <w:vertAlign w:val="subscript"/>
        </w:rPr>
        <w:t>2</w:t>
      </w:r>
      <w:r w:rsidRPr="00BD1435">
        <w:rPr>
          <w:rFonts w:ascii="Times New Roman" w:hAnsi="Times New Roman"/>
          <w:sz w:val="24"/>
          <w:szCs w:val="24"/>
        </w:rPr>
        <w:t>-capture unit. The proposed power cycle utilized low-pressure steam from a PC plant to enhance the total power generation. In addition, captured CO</w:t>
      </w:r>
      <w:r w:rsidRPr="00405420">
        <w:rPr>
          <w:rFonts w:ascii="Times New Roman" w:hAnsi="Times New Roman"/>
          <w:sz w:val="24"/>
          <w:szCs w:val="24"/>
          <w:vertAlign w:val="subscript"/>
        </w:rPr>
        <w:t>2</w:t>
      </w:r>
      <w:r w:rsidRPr="00BD1435">
        <w:rPr>
          <w:rFonts w:ascii="Times New Roman" w:hAnsi="Times New Roman"/>
          <w:sz w:val="24"/>
          <w:szCs w:val="24"/>
        </w:rPr>
        <w:t xml:space="preserve"> from the PC power plant was utilized to preheat the working fluid. In this manner, the proposed power cycle can </w:t>
      </w:r>
      <w:r w:rsidRPr="00BD1435">
        <w:rPr>
          <w:rFonts w:ascii="Times New Roman" w:hAnsi="Times New Roman"/>
          <w:sz w:val="24"/>
          <w:szCs w:val="24"/>
        </w:rPr>
        <w:lastRenderedPageBreak/>
        <w:t>preheat the working fluid and reduce the energy needed for liquefaction of CO</w:t>
      </w:r>
      <w:r w:rsidRPr="00405420">
        <w:rPr>
          <w:rFonts w:ascii="Times New Roman" w:hAnsi="Times New Roman"/>
          <w:sz w:val="24"/>
          <w:szCs w:val="24"/>
          <w:vertAlign w:val="subscript"/>
        </w:rPr>
        <w:t>2</w:t>
      </w:r>
      <w:r w:rsidRPr="00BD1435">
        <w:rPr>
          <w:rFonts w:ascii="Times New Roman" w:hAnsi="Times New Roman"/>
          <w:sz w:val="24"/>
          <w:szCs w:val="24"/>
        </w:rPr>
        <w:t>.</w:t>
      </w:r>
    </w:p>
    <w:p w:rsidR="00E92324" w:rsidRDefault="00BD1435" w:rsidP="00E92324">
      <w:pPr>
        <w:jc w:val="center"/>
      </w:pPr>
      <w:r>
        <w:object w:dxaOrig="18570" w:dyaOrig="9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6.85pt;height:199.7pt" o:ole="">
            <v:imagedata r:id="rId6" o:title=""/>
          </v:shape>
          <o:OLEObject Type="Embed" ProgID="Visio.Drawing.15" ShapeID="_x0000_i1025" DrawAspect="Content" ObjectID="_1461448757" r:id="rId7"/>
        </w:object>
      </w:r>
    </w:p>
    <w:p w:rsidR="00BD1435" w:rsidRDefault="00BD1435" w:rsidP="00BD1435">
      <w:pPr>
        <w:jc w:val="center"/>
        <w:rPr>
          <w:rFonts w:ascii="Times New Roman" w:hAnsi="Times New Roman" w:cs="Times New Roman"/>
          <w:sz w:val="24"/>
          <w:szCs w:val="24"/>
        </w:rPr>
      </w:pPr>
      <w:r>
        <w:rPr>
          <w:rFonts w:ascii="Times New Roman" w:hAnsi="Times New Roman" w:cs="Times New Roman"/>
          <w:sz w:val="24"/>
          <w:szCs w:val="24"/>
        </w:rPr>
        <w:t xml:space="preserve">Figure. </w:t>
      </w:r>
      <w:r>
        <w:rPr>
          <w:rFonts w:ascii="Times New Roman" w:hAnsi="Times New Roman" w:cs="Times New Roman" w:hint="eastAsia"/>
          <w:sz w:val="24"/>
          <w:szCs w:val="24"/>
        </w:rPr>
        <w:t>1</w:t>
      </w:r>
      <w:r w:rsidRPr="00E92324">
        <w:rPr>
          <w:rFonts w:ascii="Times New Roman" w:hAnsi="Times New Roman" w:cs="Times New Roman"/>
          <w:sz w:val="24"/>
          <w:szCs w:val="24"/>
        </w:rPr>
        <w:t xml:space="preserve"> </w:t>
      </w:r>
      <w:r>
        <w:rPr>
          <w:rFonts w:ascii="Times New Roman" w:hAnsi="Times New Roman"/>
          <w:sz w:val="24"/>
          <w:szCs w:val="24"/>
        </w:rPr>
        <w:t>Process flow diagram of ORC using ternary mixture working fluid</w:t>
      </w:r>
      <w:r>
        <w:rPr>
          <w:rFonts w:ascii="Times New Roman" w:hAnsi="Times New Roman"/>
          <w:sz w:val="24"/>
          <w:szCs w:val="24"/>
        </w:rPr>
        <w:t>.</w:t>
      </w:r>
    </w:p>
    <w:p w:rsidR="00BD1435" w:rsidRPr="00BD1435" w:rsidRDefault="00BD1435" w:rsidP="00E92324">
      <w:pPr>
        <w:jc w:val="center"/>
      </w:pPr>
    </w:p>
    <w:p w:rsidR="00BD1435" w:rsidRDefault="00BD1435" w:rsidP="00E92324">
      <w:pPr>
        <w:jc w:val="center"/>
      </w:pPr>
      <w:r>
        <w:rPr>
          <w:noProof/>
        </w:rPr>
        <w:drawing>
          <wp:inline distT="0" distB="0" distL="0" distR="0" wp14:anchorId="2500AD8D" wp14:editId="260ED2DD">
            <wp:extent cx="4510585" cy="3466531"/>
            <wp:effectExtent l="0" t="0" r="4445" b="635"/>
            <wp:docPr id="1" name="차트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92324" w:rsidRDefault="00EF008D" w:rsidP="00E92324">
      <w:pPr>
        <w:jc w:val="center"/>
        <w:rPr>
          <w:rFonts w:ascii="Times New Roman" w:hAnsi="Times New Roman" w:cs="Times New Roman"/>
          <w:sz w:val="24"/>
          <w:szCs w:val="24"/>
        </w:rPr>
      </w:pPr>
      <w:r>
        <w:rPr>
          <w:rFonts w:ascii="Times New Roman" w:hAnsi="Times New Roman" w:cs="Times New Roman"/>
          <w:sz w:val="24"/>
          <w:szCs w:val="24"/>
        </w:rPr>
        <w:t xml:space="preserve">Figure. </w:t>
      </w:r>
      <w:r w:rsidR="00BD1435">
        <w:rPr>
          <w:rFonts w:ascii="Times New Roman" w:hAnsi="Times New Roman" w:cs="Times New Roman"/>
          <w:sz w:val="24"/>
          <w:szCs w:val="24"/>
        </w:rPr>
        <w:t>2</w:t>
      </w:r>
      <w:r w:rsidR="00E92324" w:rsidRPr="00E92324">
        <w:rPr>
          <w:rFonts w:ascii="Times New Roman" w:hAnsi="Times New Roman" w:cs="Times New Roman"/>
          <w:sz w:val="24"/>
          <w:szCs w:val="24"/>
        </w:rPr>
        <w:t xml:space="preserve"> </w:t>
      </w:r>
      <w:r w:rsidR="00BD1435" w:rsidRPr="0033217C">
        <w:rPr>
          <w:rFonts w:ascii="Times New Roman" w:hAnsi="Times New Roman"/>
          <w:sz w:val="24"/>
          <w:szCs w:val="24"/>
        </w:rPr>
        <w:t>T-</w:t>
      </w:r>
      <w:r w:rsidR="00BD1435">
        <w:rPr>
          <w:rFonts w:ascii="Times New Roman" w:hAnsi="Times New Roman"/>
          <w:sz w:val="24"/>
          <w:szCs w:val="24"/>
        </w:rPr>
        <w:t>S</w:t>
      </w:r>
      <w:r w:rsidR="00BD1435" w:rsidRPr="0033217C">
        <w:rPr>
          <w:rFonts w:ascii="Times New Roman" w:hAnsi="Times New Roman"/>
          <w:sz w:val="24"/>
          <w:szCs w:val="24"/>
        </w:rPr>
        <w:t xml:space="preserve"> diagram of ORC using ternary mixture working fluid</w:t>
      </w:r>
      <w:r w:rsidR="00BD1435">
        <w:rPr>
          <w:rFonts w:ascii="Times New Roman" w:hAnsi="Times New Roman"/>
          <w:sz w:val="24"/>
          <w:szCs w:val="24"/>
        </w:rPr>
        <w:t>.</w:t>
      </w:r>
    </w:p>
    <w:p w:rsidR="00BD1435" w:rsidRDefault="00EF008D" w:rsidP="006376CB">
      <w:pPr>
        <w:ind w:firstLineChars="50" w:firstLine="120"/>
        <w:jc w:val="left"/>
        <w:rPr>
          <w:rFonts w:ascii="Times New Roman" w:hAnsi="Times New Roman"/>
          <w:sz w:val="24"/>
          <w:szCs w:val="24"/>
        </w:rPr>
      </w:pPr>
      <w:r>
        <w:rPr>
          <w:rFonts w:ascii="Times New Roman" w:hAnsi="Times New Roman"/>
          <w:sz w:val="24"/>
          <w:szCs w:val="24"/>
        </w:rPr>
        <w:t xml:space="preserve">Figure </w:t>
      </w:r>
      <w:r>
        <w:rPr>
          <w:rFonts w:ascii="Times New Roman" w:hAnsi="Times New Roman" w:hint="eastAsia"/>
          <w:sz w:val="24"/>
          <w:szCs w:val="24"/>
        </w:rPr>
        <w:t>1</w:t>
      </w:r>
      <w:r w:rsidR="00E92324" w:rsidRPr="00E92324">
        <w:rPr>
          <w:rFonts w:ascii="Times New Roman" w:hAnsi="Times New Roman"/>
          <w:sz w:val="24"/>
          <w:szCs w:val="24"/>
        </w:rPr>
        <w:t xml:space="preserve"> </w:t>
      </w:r>
      <w:r w:rsidR="00BD1435">
        <w:rPr>
          <w:rFonts w:ascii="Times New Roman" w:hAnsi="Times New Roman"/>
          <w:sz w:val="24"/>
          <w:szCs w:val="24"/>
        </w:rPr>
        <w:t>and 2 give</w:t>
      </w:r>
      <w:r w:rsidR="00E92324" w:rsidRPr="00E92324">
        <w:rPr>
          <w:rFonts w:ascii="Times New Roman" w:hAnsi="Times New Roman"/>
          <w:sz w:val="24"/>
          <w:szCs w:val="24"/>
        </w:rPr>
        <w:t xml:space="preserve"> a principal process scheme of </w:t>
      </w:r>
      <w:r w:rsidR="00BD1435" w:rsidRPr="0033217C">
        <w:rPr>
          <w:rFonts w:ascii="Times New Roman" w:hAnsi="Times New Roman"/>
          <w:sz w:val="24"/>
          <w:szCs w:val="24"/>
        </w:rPr>
        <w:t>ternary mixture working fluid</w:t>
      </w:r>
      <w:r w:rsidR="00BD1435">
        <w:rPr>
          <w:rFonts w:ascii="Times New Roman" w:hAnsi="Times New Roman"/>
          <w:sz w:val="24"/>
          <w:szCs w:val="24"/>
        </w:rPr>
        <w:t xml:space="preserve"> and corresponding T-S diagram</w:t>
      </w:r>
      <w:r w:rsidR="00EE5EA5">
        <w:rPr>
          <w:rFonts w:ascii="Times New Roman" w:hAnsi="Times New Roman"/>
          <w:sz w:val="24"/>
          <w:szCs w:val="24"/>
        </w:rPr>
        <w:t>.</w:t>
      </w:r>
      <w:r w:rsidR="00BD1435">
        <w:rPr>
          <w:rFonts w:ascii="Times New Roman" w:hAnsi="Times New Roman"/>
          <w:sz w:val="24"/>
          <w:szCs w:val="24"/>
        </w:rPr>
        <w:t xml:space="preserve"> The ORC uses </w:t>
      </w:r>
      <w:r w:rsidR="00BD1435" w:rsidRPr="00697DC0">
        <w:rPr>
          <w:rFonts w:ascii="Times New Roman" w:hAnsi="Times New Roman"/>
          <w:sz w:val="24"/>
          <w:szCs w:val="24"/>
        </w:rPr>
        <w:t>R601-R23-R14</w:t>
      </w:r>
      <w:r w:rsidR="00BD1435" w:rsidRPr="00BF0934">
        <w:rPr>
          <w:rFonts w:ascii="Times New Roman" w:hAnsi="Times New Roman"/>
          <w:sz w:val="24"/>
          <w:szCs w:val="24"/>
        </w:rPr>
        <w:t xml:space="preserve"> </w:t>
      </w:r>
      <w:r w:rsidR="00BD1435">
        <w:rPr>
          <w:rFonts w:ascii="Times New Roman" w:hAnsi="Times New Roman"/>
          <w:sz w:val="24"/>
          <w:szCs w:val="24"/>
        </w:rPr>
        <w:t>ternary mixture as its working fluid and is integrated with a steam cycle as a bottoming cycle. By utilizing the hot and cold exergy of low-pressure steam and LNG that are initially wasted, the ORC is able to generate additional power without consuming fossil fuel. The CO</w:t>
      </w:r>
      <w:r w:rsidR="00BD1435" w:rsidRPr="00405420">
        <w:rPr>
          <w:rFonts w:ascii="Times New Roman" w:hAnsi="Times New Roman"/>
          <w:sz w:val="24"/>
          <w:szCs w:val="24"/>
          <w:vertAlign w:val="subscript"/>
        </w:rPr>
        <w:t>2</w:t>
      </w:r>
      <w:r w:rsidR="00BD1435">
        <w:rPr>
          <w:rFonts w:ascii="Times New Roman" w:hAnsi="Times New Roman"/>
          <w:sz w:val="24"/>
          <w:szCs w:val="24"/>
        </w:rPr>
        <w:t xml:space="preserve"> generated from the combined cycle </w:t>
      </w:r>
      <w:r w:rsidR="00BD1435">
        <w:rPr>
          <w:rFonts w:ascii="Times New Roman" w:hAnsi="Times New Roman"/>
          <w:sz w:val="24"/>
          <w:szCs w:val="24"/>
        </w:rPr>
        <w:lastRenderedPageBreak/>
        <w:t>is liquefied by utilizing its latent heat as a heat source for the working fluid. Consequently, the energy consumption for the CO</w:t>
      </w:r>
      <w:r w:rsidR="00BD1435" w:rsidRPr="00405420">
        <w:rPr>
          <w:rFonts w:ascii="Times New Roman" w:hAnsi="Times New Roman"/>
          <w:sz w:val="24"/>
          <w:szCs w:val="24"/>
          <w:vertAlign w:val="subscript"/>
        </w:rPr>
        <w:t>2</w:t>
      </w:r>
      <w:r w:rsidR="00BD1435">
        <w:rPr>
          <w:rFonts w:ascii="Times New Roman" w:hAnsi="Times New Roman"/>
          <w:sz w:val="24"/>
          <w:szCs w:val="24"/>
        </w:rPr>
        <w:t>-liquefaction process is reduced by more than 50% in this study. The nonisothermal condensing nature of the ternary mixture working fluid can reduce the exergy loss of the system, and the consequent power generation and efficiency of the ORC are significantly improved. Power generation from the ternary mixture ORC is increased by about 56% and 59% as compared with the pure and binary mixture ORCs, respectively. Important design parameters such as pump discharge pressure, working fluid composition, and turbine inlet and outlet pressure are also optimized to recover the maximum power from the ORC.</w:t>
      </w:r>
    </w:p>
    <w:p w:rsidR="006376CB" w:rsidRPr="006376CB" w:rsidRDefault="006376CB" w:rsidP="006376CB">
      <w:pPr>
        <w:ind w:firstLineChars="50" w:firstLine="120"/>
        <w:jc w:val="left"/>
        <w:rPr>
          <w:rFonts w:ascii="Times New Roman" w:hAnsi="Times New Roman"/>
          <w:b/>
          <w:sz w:val="24"/>
          <w:szCs w:val="24"/>
        </w:rPr>
      </w:pPr>
      <w:r w:rsidRPr="006376CB">
        <w:rPr>
          <w:rFonts w:ascii="Times New Roman" w:hAnsi="Times New Roman"/>
          <w:b/>
          <w:sz w:val="24"/>
          <w:szCs w:val="24"/>
        </w:rPr>
        <w:t>Acknowledgement</w:t>
      </w:r>
    </w:p>
    <w:p w:rsidR="006376CB" w:rsidRPr="004B72D3" w:rsidRDefault="006376CB" w:rsidP="006376CB">
      <w:pPr>
        <w:ind w:firstLineChars="50" w:firstLine="120"/>
        <w:jc w:val="left"/>
        <w:rPr>
          <w:rFonts w:ascii="Times New Roman" w:hAnsi="Times New Roman"/>
          <w:sz w:val="24"/>
          <w:szCs w:val="24"/>
        </w:rPr>
      </w:pPr>
      <w:r w:rsidRPr="004B72D3">
        <w:rPr>
          <w:rFonts w:ascii="Times New Roman" w:hAnsi="Times New Roman" w:hint="eastAsia"/>
          <w:sz w:val="24"/>
          <w:szCs w:val="24"/>
        </w:rPr>
        <w:t>This research was supported by the second phase of the Brain Korea 21 Program in 2014, by Institute of Chemical Processes in Seoul National University, by MKE and grant from the LNG Plant R&amp;D Center funded by the Ministry of Land, Transportation and Maritime Affairs (MLTM) of the Korean government, by the Energy Efficiency &amp; Resources Core Technology Program of the Korea Institute of Energy Technology Evaluation and Planning(KETEP) granted financial resource from the Ministry of Trade, Industry &amp; Energy, Republic of Korea (No. 2010201020006D), (No. 20132010201760) and (No. 20132010500050).</w:t>
      </w:r>
    </w:p>
    <w:p w:rsidR="00164902" w:rsidRPr="006376CB" w:rsidRDefault="00164902" w:rsidP="006376CB">
      <w:pPr>
        <w:ind w:firstLineChars="50" w:firstLine="120"/>
        <w:jc w:val="left"/>
        <w:rPr>
          <w:rFonts w:ascii="Times New Roman" w:hAnsi="Times New Roman" w:hint="eastAsia"/>
          <w:sz w:val="24"/>
          <w:szCs w:val="24"/>
        </w:rPr>
      </w:pPr>
    </w:p>
    <w:p w:rsidR="00164902" w:rsidRPr="00E92324" w:rsidRDefault="00164902" w:rsidP="006376CB">
      <w:pPr>
        <w:ind w:firstLineChars="50" w:firstLine="120"/>
        <w:jc w:val="left"/>
        <w:rPr>
          <w:rFonts w:ascii="Times New Roman" w:hAnsi="Times New Roman"/>
          <w:sz w:val="24"/>
          <w:szCs w:val="24"/>
        </w:rPr>
      </w:pPr>
    </w:p>
    <w:sectPr w:rsidR="00164902" w:rsidRPr="00E92324">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5F55" w:rsidRDefault="005D5F55" w:rsidP="00080AC6">
      <w:pPr>
        <w:spacing w:after="0" w:line="240" w:lineRule="auto"/>
      </w:pPr>
      <w:r>
        <w:separator/>
      </w:r>
    </w:p>
  </w:endnote>
  <w:endnote w:type="continuationSeparator" w:id="0">
    <w:p w:rsidR="005D5F55" w:rsidRDefault="005D5F55" w:rsidP="00080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5F55" w:rsidRDefault="005D5F55" w:rsidP="00080AC6">
      <w:pPr>
        <w:spacing w:after="0" w:line="240" w:lineRule="auto"/>
      </w:pPr>
      <w:r>
        <w:separator/>
      </w:r>
    </w:p>
  </w:footnote>
  <w:footnote w:type="continuationSeparator" w:id="0">
    <w:p w:rsidR="005D5F55" w:rsidRDefault="005D5F55" w:rsidP="00080A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8FA"/>
    <w:rsid w:val="00023076"/>
    <w:rsid w:val="0006436D"/>
    <w:rsid w:val="00080AC6"/>
    <w:rsid w:val="00093649"/>
    <w:rsid w:val="000F2747"/>
    <w:rsid w:val="00104901"/>
    <w:rsid w:val="00164902"/>
    <w:rsid w:val="0016512B"/>
    <w:rsid w:val="0026103F"/>
    <w:rsid w:val="00283E61"/>
    <w:rsid w:val="002A1820"/>
    <w:rsid w:val="00405420"/>
    <w:rsid w:val="00455EA8"/>
    <w:rsid w:val="004656EB"/>
    <w:rsid w:val="004D6D61"/>
    <w:rsid w:val="005D5F55"/>
    <w:rsid w:val="005F6AD2"/>
    <w:rsid w:val="00602A62"/>
    <w:rsid w:val="006376CB"/>
    <w:rsid w:val="006527E6"/>
    <w:rsid w:val="006F41C6"/>
    <w:rsid w:val="007102B6"/>
    <w:rsid w:val="00754110"/>
    <w:rsid w:val="0078304E"/>
    <w:rsid w:val="008C3984"/>
    <w:rsid w:val="00902FFF"/>
    <w:rsid w:val="009903F3"/>
    <w:rsid w:val="00A11E66"/>
    <w:rsid w:val="00A12210"/>
    <w:rsid w:val="00A266C9"/>
    <w:rsid w:val="00A33570"/>
    <w:rsid w:val="00AF768F"/>
    <w:rsid w:val="00BC68FA"/>
    <w:rsid w:val="00BD1435"/>
    <w:rsid w:val="00CA71B9"/>
    <w:rsid w:val="00CD47D9"/>
    <w:rsid w:val="00E92324"/>
    <w:rsid w:val="00EE5EA5"/>
    <w:rsid w:val="00EF008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9938A0-D44C-4A27-B31F-F848726FD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A71B9"/>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4">
    <w:name w:val="header"/>
    <w:basedOn w:val="a"/>
    <w:link w:val="Char"/>
    <w:uiPriority w:val="99"/>
    <w:unhideWhenUsed/>
    <w:rsid w:val="00080AC6"/>
    <w:pPr>
      <w:tabs>
        <w:tab w:val="center" w:pos="4513"/>
        <w:tab w:val="right" w:pos="9026"/>
      </w:tabs>
      <w:snapToGrid w:val="0"/>
    </w:pPr>
  </w:style>
  <w:style w:type="character" w:customStyle="1" w:styleId="Char">
    <w:name w:val="머리글 Char"/>
    <w:basedOn w:val="a0"/>
    <w:link w:val="a4"/>
    <w:uiPriority w:val="99"/>
    <w:rsid w:val="00080AC6"/>
  </w:style>
  <w:style w:type="paragraph" w:styleId="a5">
    <w:name w:val="footer"/>
    <w:basedOn w:val="a"/>
    <w:link w:val="Char0"/>
    <w:uiPriority w:val="99"/>
    <w:unhideWhenUsed/>
    <w:rsid w:val="00080AC6"/>
    <w:pPr>
      <w:tabs>
        <w:tab w:val="center" w:pos="4513"/>
        <w:tab w:val="right" w:pos="9026"/>
      </w:tabs>
      <w:snapToGrid w:val="0"/>
    </w:pPr>
  </w:style>
  <w:style w:type="character" w:customStyle="1" w:styleId="Char0">
    <w:name w:val="바닥글 Char"/>
    <w:basedOn w:val="a0"/>
    <w:link w:val="a5"/>
    <w:uiPriority w:val="99"/>
    <w:rsid w:val="00080AC6"/>
  </w:style>
  <w:style w:type="paragraph" w:styleId="a6">
    <w:name w:val="Balloon Text"/>
    <w:basedOn w:val="a"/>
    <w:link w:val="Char1"/>
    <w:uiPriority w:val="99"/>
    <w:semiHidden/>
    <w:unhideWhenUsed/>
    <w:rsid w:val="00164902"/>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164902"/>
    <w:rPr>
      <w:rFonts w:asciiTheme="majorHAnsi" w:eastAsiaTheme="majorEastAsia" w:hAnsiTheme="majorHAnsi" w:cstheme="majorBidi"/>
      <w:sz w:val="18"/>
      <w:szCs w:val="18"/>
    </w:rPr>
  </w:style>
  <w:style w:type="paragraph" w:styleId="a7">
    <w:name w:val="List Paragraph"/>
    <w:basedOn w:val="a"/>
    <w:uiPriority w:val="34"/>
    <w:qFormat/>
    <w:rsid w:val="00BD1435"/>
    <w:pPr>
      <w:spacing w:after="0" w:line="240" w:lineRule="auto"/>
      <w:ind w:leftChars="400" w:left="800"/>
    </w:pPr>
    <w:rPr>
      <w:rFonts w:ascii="맑은 고딕" w:eastAsia="맑은 고딕" w:hAnsi="맑은 고딕"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0792306">
      <w:bodyDiv w:val="1"/>
      <w:marLeft w:val="0"/>
      <w:marRight w:val="0"/>
      <w:marTop w:val="0"/>
      <w:marBottom w:val="0"/>
      <w:divBdr>
        <w:top w:val="single" w:sz="6" w:space="0" w:color="7F9DB9"/>
        <w:left w:val="single" w:sz="6" w:space="0" w:color="7F9DB9"/>
        <w:bottom w:val="single" w:sz="6" w:space="0" w:color="7F9DB9"/>
        <w:right w:val="single" w:sz="6" w:space="0" w:color="7F9DB9"/>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webSettings" Target="webSettings.xml"/><Relationship Id="rId7" Type="http://schemas.openxmlformats.org/officeDocument/2006/relationships/package" Target="embeddings/Microsoft_Visio_Drawing1111111111111111.vsdx"/><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F:\&#54617;&#44368;&#44288;&#47144;\&#45436;&#47928;,&#53945;&#54728;&#51089;&#49457;\working%20fluid%20selection\&#45436;&#47928;&#51089;&#49457;\&#45436;&#47928;&#50857;%20Figure&#4630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ko-K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155927495546549"/>
          <c:y val="4.6813613414602252E-2"/>
          <c:w val="0.83885485042441776"/>
          <c:h val="0.8265798114897257"/>
        </c:manualLayout>
      </c:layout>
      <c:scatterChart>
        <c:scatterStyle val="lineMarker"/>
        <c:varyColors val="0"/>
        <c:ser>
          <c:idx val="0"/>
          <c:order val="0"/>
          <c:tx>
            <c:strRef>
              <c:f>'Figure2T-S diagram'!$A$2</c:f>
              <c:strCache>
                <c:ptCount val="1"/>
                <c:pt idx="0">
                  <c:v>Vapor</c:v>
                </c:pt>
              </c:strCache>
            </c:strRef>
          </c:tx>
          <c:spPr>
            <a:ln w="19050" cap="rnd">
              <a:solidFill>
                <a:schemeClr val="accent2"/>
              </a:solidFill>
              <a:prstDash val="lgDash"/>
              <a:round/>
            </a:ln>
            <a:effectLst/>
          </c:spPr>
          <c:marker>
            <c:symbol val="none"/>
          </c:marker>
          <c:xVal>
            <c:numRef>
              <c:f>'Figure2T-S diagram'!$B$9:$B$129</c:f>
              <c:numCache>
                <c:formatCode>General</c:formatCode>
                <c:ptCount val="121"/>
                <c:pt idx="0">
                  <c:v>-150063.20000000001</c:v>
                </c:pt>
                <c:pt idx="1">
                  <c:v>-153403.76</c:v>
                </c:pt>
                <c:pt idx="2">
                  <c:v>-155302.6</c:v>
                </c:pt>
                <c:pt idx="3">
                  <c:v>-156639.5</c:v>
                </c:pt>
                <c:pt idx="4">
                  <c:v>-157679.73000000001</c:v>
                </c:pt>
                <c:pt idx="5">
                  <c:v>-158538.1</c:v>
                </c:pt>
                <c:pt idx="6">
                  <c:v>-159274.51</c:v>
                </c:pt>
                <c:pt idx="7">
                  <c:v>-159923.99</c:v>
                </c:pt>
                <c:pt idx="8">
                  <c:v>-160508.79</c:v>
                </c:pt>
                <c:pt idx="9">
                  <c:v>-161043.84</c:v>
                </c:pt>
                <c:pt idx="10">
                  <c:v>-161539.68</c:v>
                </c:pt>
                <c:pt idx="11">
                  <c:v>-162003.98000000001</c:v>
                </c:pt>
                <c:pt idx="12">
                  <c:v>-162442.53</c:v>
                </c:pt>
                <c:pt idx="13">
                  <c:v>-162859.76</c:v>
                </c:pt>
                <c:pt idx="14">
                  <c:v>-163259.15</c:v>
                </c:pt>
                <c:pt idx="15">
                  <c:v>-163643.5</c:v>
                </c:pt>
                <c:pt idx="16">
                  <c:v>-164015.04000000001</c:v>
                </c:pt>
                <c:pt idx="17">
                  <c:v>-164375.6</c:v>
                </c:pt>
                <c:pt idx="18">
                  <c:v>-164726.72</c:v>
                </c:pt>
                <c:pt idx="19">
                  <c:v>-165071.01999999999</c:v>
                </c:pt>
                <c:pt idx="20">
                  <c:v>-165407.79</c:v>
                </c:pt>
                <c:pt idx="21">
                  <c:v>-165738.68</c:v>
                </c:pt>
                <c:pt idx="22">
                  <c:v>-166064.54999999999</c:v>
                </c:pt>
                <c:pt idx="23">
                  <c:v>-166386.14000000001</c:v>
                </c:pt>
                <c:pt idx="24">
                  <c:v>-166704.16</c:v>
                </c:pt>
                <c:pt idx="25">
                  <c:v>-167020.93</c:v>
                </c:pt>
                <c:pt idx="26">
                  <c:v>-167334.14000000001</c:v>
                </c:pt>
                <c:pt idx="27">
                  <c:v>-167645.54</c:v>
                </c:pt>
                <c:pt idx="28">
                  <c:v>-167955.58</c:v>
                </c:pt>
                <c:pt idx="29">
                  <c:v>-168264.7</c:v>
                </c:pt>
                <c:pt idx="30">
                  <c:v>-168573.32</c:v>
                </c:pt>
                <c:pt idx="31">
                  <c:v>-168881.81</c:v>
                </c:pt>
                <c:pt idx="32">
                  <c:v>-169190.54</c:v>
                </c:pt>
                <c:pt idx="33">
                  <c:v>-169499.88</c:v>
                </c:pt>
                <c:pt idx="34">
                  <c:v>-169810.17</c:v>
                </c:pt>
                <c:pt idx="35">
                  <c:v>-170121.75</c:v>
                </c:pt>
                <c:pt idx="36">
                  <c:v>-170434.95</c:v>
                </c:pt>
                <c:pt idx="37">
                  <c:v>-170750.12</c:v>
                </c:pt>
                <c:pt idx="38">
                  <c:v>-171067.59</c:v>
                </c:pt>
                <c:pt idx="39">
                  <c:v>-171387.71</c:v>
                </c:pt>
                <c:pt idx="40">
                  <c:v>-171710.83</c:v>
                </c:pt>
                <c:pt idx="41">
                  <c:v>-172037.3</c:v>
                </c:pt>
                <c:pt idx="42">
                  <c:v>-172367.5</c:v>
                </c:pt>
                <c:pt idx="43">
                  <c:v>-172701.8</c:v>
                </c:pt>
                <c:pt idx="44">
                  <c:v>-173040.56</c:v>
                </c:pt>
                <c:pt idx="45">
                  <c:v>-173389.81</c:v>
                </c:pt>
                <c:pt idx="46">
                  <c:v>-173740.06</c:v>
                </c:pt>
                <c:pt idx="47">
                  <c:v>-174096.36</c:v>
                </c:pt>
                <c:pt idx="48">
                  <c:v>-174459.19</c:v>
                </c:pt>
                <c:pt idx="49">
                  <c:v>-174829.07</c:v>
                </c:pt>
                <c:pt idx="50">
                  <c:v>-175206.57</c:v>
                </c:pt>
                <c:pt idx="51">
                  <c:v>-175592.47</c:v>
                </c:pt>
                <c:pt idx="52">
                  <c:v>-175997.32</c:v>
                </c:pt>
                <c:pt idx="53">
                  <c:v>-176406.22</c:v>
                </c:pt>
                <c:pt idx="54">
                  <c:v>-176827.28</c:v>
                </c:pt>
                <c:pt idx="55">
                  <c:v>-177261.87</c:v>
                </c:pt>
                <c:pt idx="56">
                  <c:v>-177711.59</c:v>
                </c:pt>
                <c:pt idx="57">
                  <c:v>-178178.19</c:v>
                </c:pt>
                <c:pt idx="58">
                  <c:v>-178663.5</c:v>
                </c:pt>
                <c:pt idx="59">
                  <c:v>-179190.31</c:v>
                </c:pt>
                <c:pt idx="60">
                  <c:v>-179729.88</c:v>
                </c:pt>
                <c:pt idx="61">
                  <c:v>-180298.54</c:v>
                </c:pt>
                <c:pt idx="62">
                  <c:v>-180899.64</c:v>
                </c:pt>
                <c:pt idx="63">
                  <c:v>-181610.4</c:v>
                </c:pt>
                <c:pt idx="64">
                  <c:v>-182314.17</c:v>
                </c:pt>
                <c:pt idx="65">
                  <c:v>-183128.13</c:v>
                </c:pt>
                <c:pt idx="66">
                  <c:v>-184133.7</c:v>
                </c:pt>
                <c:pt idx="67">
                  <c:v>-185319.7</c:v>
                </c:pt>
                <c:pt idx="68">
                  <c:v>-187242.57</c:v>
                </c:pt>
                <c:pt idx="69">
                  <c:v>-198077.48</c:v>
                </c:pt>
              </c:numCache>
            </c:numRef>
          </c:xVal>
          <c:yVal>
            <c:numRef>
              <c:f>'Figure2T-S diagram'!$A$9:$A$129</c:f>
              <c:numCache>
                <c:formatCode>General</c:formatCode>
                <c:ptCount val="121"/>
                <c:pt idx="0">
                  <c:v>-25.220105</c:v>
                </c:pt>
                <c:pt idx="1">
                  <c:v>-12.317717</c:v>
                </c:pt>
                <c:pt idx="2">
                  <c:v>-4.1445297999999999</c:v>
                </c:pt>
                <c:pt idx="3">
                  <c:v>1.9346945099999999</c:v>
                </c:pt>
                <c:pt idx="4">
                  <c:v>6.8026526499999997</c:v>
                </c:pt>
                <c:pt idx="5">
                  <c:v>10.8711994</c:v>
                </c:pt>
                <c:pt idx="6">
                  <c:v>14.368095500000001</c:v>
                </c:pt>
                <c:pt idx="7">
                  <c:v>17.433419300000001</c:v>
                </c:pt>
                <c:pt idx="8">
                  <c:v>20.1598674</c:v>
                </c:pt>
                <c:pt idx="9">
                  <c:v>22.612166999999999</c:v>
                </c:pt>
                <c:pt idx="10">
                  <c:v>24.8374165</c:v>
                </c:pt>
                <c:pt idx="11">
                  <c:v>26.871024800000001</c:v>
                </c:pt>
                <c:pt idx="12">
                  <c:v>28.740333400000001</c:v>
                </c:pt>
                <c:pt idx="13">
                  <c:v>30.466934200000001</c:v>
                </c:pt>
                <c:pt idx="14">
                  <c:v>32.068216100000001</c:v>
                </c:pt>
                <c:pt idx="15">
                  <c:v>33.558433000000001</c:v>
                </c:pt>
                <c:pt idx="16">
                  <c:v>34.949457799999998</c:v>
                </c:pt>
                <c:pt idx="17">
                  <c:v>36.251308100000003</c:v>
                </c:pt>
                <c:pt idx="18">
                  <c:v>37.472490899999997</c:v>
                </c:pt>
                <c:pt idx="19">
                  <c:v>38.614223199999998</c:v>
                </c:pt>
                <c:pt idx="20">
                  <c:v>39.691001900000003</c:v>
                </c:pt>
                <c:pt idx="21">
                  <c:v>40.705010600000001</c:v>
                </c:pt>
                <c:pt idx="22">
                  <c:v>41.660952000000002</c:v>
                </c:pt>
                <c:pt idx="23">
                  <c:v>42.5628308</c:v>
                </c:pt>
                <c:pt idx="24">
                  <c:v>43.414061799999999</c:v>
                </c:pt>
                <c:pt idx="25">
                  <c:v>44.210386900000003</c:v>
                </c:pt>
                <c:pt idx="26">
                  <c:v>44.966943700000002</c:v>
                </c:pt>
                <c:pt idx="27">
                  <c:v>45.680850700000001</c:v>
                </c:pt>
                <c:pt idx="28">
                  <c:v>46.3542986</c:v>
                </c:pt>
                <c:pt idx="29">
                  <c:v>46.989237299999999</c:v>
                </c:pt>
                <c:pt idx="30">
                  <c:v>47.587413499999997</c:v>
                </c:pt>
                <c:pt idx="31">
                  <c:v>48.150392500000002</c:v>
                </c:pt>
                <c:pt idx="32">
                  <c:v>48.6795756</c:v>
                </c:pt>
                <c:pt idx="33">
                  <c:v>49.1762163</c:v>
                </c:pt>
                <c:pt idx="34">
                  <c:v>49.641433399999997</c:v>
                </c:pt>
                <c:pt idx="35">
                  <c:v>50.076222299999998</c:v>
                </c:pt>
                <c:pt idx="36">
                  <c:v>50.481465</c:v>
                </c:pt>
                <c:pt idx="37">
                  <c:v>50.857938300000001</c:v>
                </c:pt>
                <c:pt idx="38">
                  <c:v>51.206322399999998</c:v>
                </c:pt>
                <c:pt idx="39">
                  <c:v>51.527206900000003</c:v>
                </c:pt>
                <c:pt idx="40">
                  <c:v>51.821100199999997</c:v>
                </c:pt>
                <c:pt idx="41">
                  <c:v>52.088437800000001</c:v>
                </c:pt>
                <c:pt idx="42">
                  <c:v>52.329595500000003</c:v>
                </c:pt>
                <c:pt idx="43">
                  <c:v>52.5449068</c:v>
                </c:pt>
                <c:pt idx="44">
                  <c:v>52.7346766</c:v>
                </c:pt>
                <c:pt idx="45">
                  <c:v>52.8796727</c:v>
                </c:pt>
                <c:pt idx="46">
                  <c:v>53.014764</c:v>
                </c:pt>
                <c:pt idx="47">
                  <c:v>53.123912599999997</c:v>
                </c:pt>
                <c:pt idx="48">
                  <c:v>53.2071708</c:v>
                </c:pt>
                <c:pt idx="49">
                  <c:v>53.264576099999999</c:v>
                </c:pt>
                <c:pt idx="50">
                  <c:v>53.2959405</c:v>
                </c:pt>
                <c:pt idx="51">
                  <c:v>53.3006441</c:v>
                </c:pt>
                <c:pt idx="52">
                  <c:v>53.248177400000003</c:v>
                </c:pt>
                <c:pt idx="53">
                  <c:v>53.186960399999997</c:v>
                </c:pt>
                <c:pt idx="54">
                  <c:v>53.094088200000002</c:v>
                </c:pt>
                <c:pt idx="55">
                  <c:v>52.9679997</c:v>
                </c:pt>
                <c:pt idx="56">
                  <c:v>52.806802300000001</c:v>
                </c:pt>
                <c:pt idx="57">
                  <c:v>52.608507600000003</c:v>
                </c:pt>
                <c:pt idx="58">
                  <c:v>52.371412399999997</c:v>
                </c:pt>
                <c:pt idx="59">
                  <c:v>52.0402074</c:v>
                </c:pt>
                <c:pt idx="60">
                  <c:v>51.695123700000003</c:v>
                </c:pt>
                <c:pt idx="61">
                  <c:v>51.2984534</c:v>
                </c:pt>
                <c:pt idx="62">
                  <c:v>50.847581300000002</c:v>
                </c:pt>
                <c:pt idx="63">
                  <c:v>50.175921700000004</c:v>
                </c:pt>
                <c:pt idx="64">
                  <c:v>49.559123</c:v>
                </c:pt>
                <c:pt idx="65">
                  <c:v>48.751403500000002</c:v>
                </c:pt>
                <c:pt idx="66">
                  <c:v>47.622389200000001</c:v>
                </c:pt>
                <c:pt idx="67">
                  <c:v>46.244266400000001</c:v>
                </c:pt>
                <c:pt idx="68">
                  <c:v>43.748300399999998</c:v>
                </c:pt>
                <c:pt idx="69">
                  <c:v>26.919687199999998</c:v>
                </c:pt>
                <c:pt idx="75">
                  <c:v>0</c:v>
                </c:pt>
              </c:numCache>
            </c:numRef>
          </c:yVal>
          <c:smooth val="0"/>
        </c:ser>
        <c:ser>
          <c:idx val="1"/>
          <c:order val="1"/>
          <c:tx>
            <c:strRef>
              <c:f>'Figure2T-S diagram'!$E$2</c:f>
              <c:strCache>
                <c:ptCount val="1"/>
                <c:pt idx="0">
                  <c:v>Liquid</c:v>
                </c:pt>
              </c:strCache>
            </c:strRef>
          </c:tx>
          <c:spPr>
            <a:ln w="19050" cap="rnd">
              <a:solidFill>
                <a:schemeClr val="accent2"/>
              </a:solidFill>
              <a:prstDash val="lgDash"/>
              <a:round/>
            </a:ln>
            <a:effectLst/>
          </c:spPr>
          <c:marker>
            <c:symbol val="none"/>
          </c:marker>
          <c:xVal>
            <c:numRef>
              <c:f>'Figure2T-S diagram'!$F$9:$F$129</c:f>
              <c:numCache>
                <c:formatCode>General</c:formatCode>
                <c:ptCount val="121"/>
                <c:pt idx="0">
                  <c:v>-264161.65000000002</c:v>
                </c:pt>
                <c:pt idx="1">
                  <c:v>-258407.27</c:v>
                </c:pt>
                <c:pt idx="2">
                  <c:v>-254508.68</c:v>
                </c:pt>
                <c:pt idx="3">
                  <c:v>-251471.41</c:v>
                </c:pt>
                <c:pt idx="4">
                  <c:v>-248945.82</c:v>
                </c:pt>
                <c:pt idx="5">
                  <c:v>-246763.89</c:v>
                </c:pt>
                <c:pt idx="6">
                  <c:v>-244830.59</c:v>
                </c:pt>
                <c:pt idx="7">
                  <c:v>-243086.5</c:v>
                </c:pt>
                <c:pt idx="8">
                  <c:v>-241491.7</c:v>
                </c:pt>
                <c:pt idx="9">
                  <c:v>-240017.98</c:v>
                </c:pt>
                <c:pt idx="10">
                  <c:v>-238644.6</c:v>
                </c:pt>
                <c:pt idx="11">
                  <c:v>-237355.79</c:v>
                </c:pt>
                <c:pt idx="12">
                  <c:v>-236139.29</c:v>
                </c:pt>
                <c:pt idx="13">
                  <c:v>-234985.34</c:v>
                </c:pt>
                <c:pt idx="14">
                  <c:v>-233886.05</c:v>
                </c:pt>
                <c:pt idx="15">
                  <c:v>-232834.9</c:v>
                </c:pt>
                <c:pt idx="16">
                  <c:v>-231826.47</c:v>
                </c:pt>
                <c:pt idx="17">
                  <c:v>-230856.18</c:v>
                </c:pt>
                <c:pt idx="18">
                  <c:v>-229920.14</c:v>
                </c:pt>
                <c:pt idx="19">
                  <c:v>-229014.99</c:v>
                </c:pt>
                <c:pt idx="20">
                  <c:v>-228137.81</c:v>
                </c:pt>
                <c:pt idx="21">
                  <c:v>-227286.04</c:v>
                </c:pt>
                <c:pt idx="22">
                  <c:v>-226457.44</c:v>
                </c:pt>
                <c:pt idx="23">
                  <c:v>-225650</c:v>
                </c:pt>
                <c:pt idx="24">
                  <c:v>-224861.96</c:v>
                </c:pt>
                <c:pt idx="25">
                  <c:v>-224091.69</c:v>
                </c:pt>
                <c:pt idx="26">
                  <c:v>-223337.77</c:v>
                </c:pt>
                <c:pt idx="27">
                  <c:v>-222598.85</c:v>
                </c:pt>
                <c:pt idx="28">
                  <c:v>-221873.76</c:v>
                </c:pt>
                <c:pt idx="29">
                  <c:v>-221161.37</c:v>
                </c:pt>
                <c:pt idx="30">
                  <c:v>-220460.67</c:v>
                </c:pt>
                <c:pt idx="31">
                  <c:v>-219770.71</c:v>
                </c:pt>
                <c:pt idx="32">
                  <c:v>-219090.6</c:v>
                </c:pt>
                <c:pt idx="33">
                  <c:v>-218419.52</c:v>
                </c:pt>
                <c:pt idx="34">
                  <c:v>-217756.69</c:v>
                </c:pt>
                <c:pt idx="35">
                  <c:v>-217101.35</c:v>
                </c:pt>
                <c:pt idx="36">
                  <c:v>-216452.8</c:v>
                </c:pt>
                <c:pt idx="37">
                  <c:v>-215810.36</c:v>
                </c:pt>
                <c:pt idx="38">
                  <c:v>-215173.37</c:v>
                </c:pt>
                <c:pt idx="39">
                  <c:v>-214541.2</c:v>
                </c:pt>
                <c:pt idx="40">
                  <c:v>-213913.23</c:v>
                </c:pt>
                <c:pt idx="41">
                  <c:v>-213288.83</c:v>
                </c:pt>
                <c:pt idx="42">
                  <c:v>-212667.42</c:v>
                </c:pt>
                <c:pt idx="43">
                  <c:v>-212048.38</c:v>
                </c:pt>
                <c:pt idx="44">
                  <c:v>-211427.4</c:v>
                </c:pt>
                <c:pt idx="45">
                  <c:v>-210810.33</c:v>
                </c:pt>
                <c:pt idx="46">
                  <c:v>-210194</c:v>
                </c:pt>
                <c:pt idx="47">
                  <c:v>-209577.5</c:v>
                </c:pt>
                <c:pt idx="48">
                  <c:v>-208960.15</c:v>
                </c:pt>
                <c:pt idx="49">
                  <c:v>-208341.26</c:v>
                </c:pt>
                <c:pt idx="50">
                  <c:v>-207711.29</c:v>
                </c:pt>
                <c:pt idx="51">
                  <c:v>-207085.08</c:v>
                </c:pt>
                <c:pt idx="52">
                  <c:v>-206456.26</c:v>
                </c:pt>
                <c:pt idx="53">
                  <c:v>-205810.85</c:v>
                </c:pt>
                <c:pt idx="54">
                  <c:v>-205169.63</c:v>
                </c:pt>
                <c:pt idx="55">
                  <c:v>-204504.56</c:v>
                </c:pt>
                <c:pt idx="56">
                  <c:v>-203841.15</c:v>
                </c:pt>
                <c:pt idx="57">
                  <c:v>-203167.12</c:v>
                </c:pt>
                <c:pt idx="58">
                  <c:v>-202479.43</c:v>
                </c:pt>
                <c:pt idx="59">
                  <c:v>-201778.45</c:v>
                </c:pt>
                <c:pt idx="60">
                  <c:v>-201054.06</c:v>
                </c:pt>
                <c:pt idx="61">
                  <c:v>-200299.55</c:v>
                </c:pt>
                <c:pt idx="62">
                  <c:v>-199571.38</c:v>
                </c:pt>
                <c:pt idx="63">
                  <c:v>-198855.05</c:v>
                </c:pt>
                <c:pt idx="64">
                  <c:v>-198077.48</c:v>
                </c:pt>
              </c:numCache>
            </c:numRef>
          </c:xVal>
          <c:yVal>
            <c:numRef>
              <c:f>'Figure2T-S diagram'!$E$9:$E$129</c:f>
              <c:numCache>
                <c:formatCode>General</c:formatCode>
                <c:ptCount val="121"/>
                <c:pt idx="0">
                  <c:v>-122.53310999999999</c:v>
                </c:pt>
                <c:pt idx="1">
                  <c:v>-108.82577999999999</c:v>
                </c:pt>
                <c:pt idx="2">
                  <c:v>-99.550763000000003</c:v>
                </c:pt>
                <c:pt idx="3">
                  <c:v>-92.316004000000007</c:v>
                </c:pt>
                <c:pt idx="4">
                  <c:v>-86.291861999999995</c:v>
                </c:pt>
                <c:pt idx="5">
                  <c:v>-81.081846999999996</c:v>
                </c:pt>
                <c:pt idx="6">
                  <c:v>-76.462414999999993</c:v>
                </c:pt>
                <c:pt idx="7">
                  <c:v>-72.293828000000005</c:v>
                </c:pt>
                <c:pt idx="8">
                  <c:v>-68.482299999999995</c:v>
                </c:pt>
                <c:pt idx="9">
                  <c:v>-64.961512999999997</c:v>
                </c:pt>
                <c:pt idx="10">
                  <c:v>-61.682661000000003</c:v>
                </c:pt>
                <c:pt idx="11">
                  <c:v>-58.608665000000002</c:v>
                </c:pt>
                <c:pt idx="12">
                  <c:v>-55.710627000000002</c:v>
                </c:pt>
                <c:pt idx="13">
                  <c:v>-52.965533000000001</c:v>
                </c:pt>
                <c:pt idx="14">
                  <c:v>-50.354725999999999</c:v>
                </c:pt>
                <c:pt idx="15">
                  <c:v>-47.862844000000003</c:v>
                </c:pt>
                <c:pt idx="16">
                  <c:v>-45.477069999999998</c:v>
                </c:pt>
                <c:pt idx="17">
                  <c:v>-43.186579999999999</c:v>
                </c:pt>
                <c:pt idx="18">
                  <c:v>-40.982143999999998</c:v>
                </c:pt>
                <c:pt idx="19">
                  <c:v>-38.855811000000003</c:v>
                </c:pt>
                <c:pt idx="20">
                  <c:v>-36.800680999999997</c:v>
                </c:pt>
                <c:pt idx="21">
                  <c:v>-34.810713999999997</c:v>
                </c:pt>
                <c:pt idx="22">
                  <c:v>-32.880589999999998</c:v>
                </c:pt>
                <c:pt idx="23">
                  <c:v>-31.005592</c:v>
                </c:pt>
                <c:pt idx="24">
                  <c:v>-29.181511</c:v>
                </c:pt>
                <c:pt idx="25">
                  <c:v>-27.404571000000001</c:v>
                </c:pt>
                <c:pt idx="26">
                  <c:v>-25.671368999999999</c:v>
                </c:pt>
                <c:pt idx="27">
                  <c:v>-23.978815000000001</c:v>
                </c:pt>
                <c:pt idx="28">
                  <c:v>-22.324099</c:v>
                </c:pt>
                <c:pt idx="29">
                  <c:v>-20.704647000000001</c:v>
                </c:pt>
                <c:pt idx="30">
                  <c:v>-19.118092000000001</c:v>
                </c:pt>
                <c:pt idx="31">
                  <c:v>-17.562249999999999</c:v>
                </c:pt>
                <c:pt idx="32">
                  <c:v>-16.03509</c:v>
                </c:pt>
                <c:pt idx="33">
                  <c:v>-14.534723</c:v>
                </c:pt>
                <c:pt idx="34">
                  <c:v>-13.059379</c:v>
                </c:pt>
                <c:pt idx="35">
                  <c:v>-11.607392000000001</c:v>
                </c:pt>
                <c:pt idx="36">
                  <c:v>-10.177189</c:v>
                </c:pt>
                <c:pt idx="37">
                  <c:v>-8.7672740000000005</c:v>
                </c:pt>
                <c:pt idx="38">
                  <c:v>-7.3762203</c:v>
                </c:pt>
                <c:pt idx="39">
                  <c:v>-6.0026586000000002</c:v>
                </c:pt>
                <c:pt idx="40">
                  <c:v>-4.6452676999999998</c:v>
                </c:pt>
                <c:pt idx="41">
                  <c:v>-3.3027658999999998</c:v>
                </c:pt>
                <c:pt idx="42">
                  <c:v>-1.9739031</c:v>
                </c:pt>
                <c:pt idx="43">
                  <c:v>-0.65745120000000001</c:v>
                </c:pt>
                <c:pt idx="44">
                  <c:v>0.65452021999999999</c:v>
                </c:pt>
                <c:pt idx="45">
                  <c:v>1.9514150299999999</c:v>
                </c:pt>
                <c:pt idx="46">
                  <c:v>3.2391445299999999</c:v>
                </c:pt>
                <c:pt idx="47">
                  <c:v>4.5193996299999997</c:v>
                </c:pt>
                <c:pt idx="48">
                  <c:v>5.7934846499999999</c:v>
                </c:pt>
                <c:pt idx="49">
                  <c:v>7.0626860000000002</c:v>
                </c:pt>
                <c:pt idx="50">
                  <c:v>8.3430656699999997</c:v>
                </c:pt>
                <c:pt idx="51">
                  <c:v>9.6096901999999993</c:v>
                </c:pt>
                <c:pt idx="52">
                  <c:v>10.873563300000001</c:v>
                </c:pt>
                <c:pt idx="53">
                  <c:v>12.157265499999999</c:v>
                </c:pt>
                <c:pt idx="54">
                  <c:v>13.427499299999999</c:v>
                </c:pt>
                <c:pt idx="55">
                  <c:v>14.7286161</c:v>
                </c:pt>
                <c:pt idx="56">
                  <c:v>16.020899400000001</c:v>
                </c:pt>
                <c:pt idx="57">
                  <c:v>17.323855099999999</c:v>
                </c:pt>
                <c:pt idx="58">
                  <c:v>18.6423971</c:v>
                </c:pt>
                <c:pt idx="59">
                  <c:v>19.976482099999998</c:v>
                </c:pt>
                <c:pt idx="60">
                  <c:v>21.341329000000002</c:v>
                </c:pt>
                <c:pt idx="61">
                  <c:v>22.746924199999999</c:v>
                </c:pt>
                <c:pt idx="62">
                  <c:v>24.1160295</c:v>
                </c:pt>
                <c:pt idx="63">
                  <c:v>25.472710599999999</c:v>
                </c:pt>
                <c:pt idx="64">
                  <c:v>26.919687199999998</c:v>
                </c:pt>
              </c:numCache>
            </c:numRef>
          </c:yVal>
          <c:smooth val="0"/>
        </c:ser>
        <c:ser>
          <c:idx val="4"/>
          <c:order val="4"/>
          <c:tx>
            <c:strRef>
              <c:f>'Figure최적 Pump P'!$X$6</c:f>
              <c:strCache>
                <c:ptCount val="1"/>
                <c:pt idx="0">
                  <c:v>33.9Bar</c:v>
                </c:pt>
              </c:strCache>
            </c:strRef>
          </c:tx>
          <c:spPr>
            <a:ln w="12700" cap="rnd">
              <a:solidFill>
                <a:schemeClr val="tx1"/>
              </a:solidFill>
              <a:prstDash val="solid"/>
              <a:round/>
            </a:ln>
            <a:effectLst/>
          </c:spPr>
          <c:marker>
            <c:symbol val="none"/>
          </c:marker>
          <c:dLbls>
            <c:dLbl>
              <c:idx val="0"/>
              <c:layout>
                <c:manualLayout>
                  <c:x val="0"/>
                  <c:y val="2.2181286783603399E-2"/>
                </c:manualLayout>
              </c:layout>
              <c:tx>
                <c:rich>
                  <a:bodyPr rot="0" spcFirstLastPara="1" vertOverflow="clip" horzOverflow="clip" vert="horz" wrap="square" lIns="38100" tIns="19050" rIns="38100" bIns="19050" anchor="ctr" anchorCtr="1">
                    <a:spAutoFit/>
                  </a:bodyPr>
                  <a:lstStyle/>
                  <a:p>
                    <a:pPr>
                      <a:defRPr sz="12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altLang="ko-KR" b="1" baseline="0"/>
                      <a:t>S1</a:t>
                    </a:r>
                    <a:endParaRPr lang="en-US" altLang="ko-KR" b="1"/>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ext>
              </c:extLst>
            </c:dLbl>
            <c:dLbl>
              <c:idx val="1"/>
              <c:layout>
                <c:manualLayout>
                  <c:x val="-4.5896206920627652E-2"/>
                  <c:y val="-3.7411693068855806E-2"/>
                </c:manualLayout>
              </c:layout>
              <c:tx>
                <c:rich>
                  <a:bodyPr rot="0" spcFirstLastPara="1" vertOverflow="clip" horzOverflow="clip" vert="horz" wrap="square" lIns="38100" tIns="19050" rIns="38100" bIns="19050" anchor="ctr" anchorCtr="1">
                    <a:spAutoFit/>
                  </a:bodyPr>
                  <a:lstStyle/>
                  <a:p>
                    <a:pPr>
                      <a:defRPr sz="12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altLang="ko-KR" b="1"/>
                      <a:t>S2</a:t>
                    </a:r>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ext>
              </c:extLst>
            </c:dLbl>
            <c:dLbl>
              <c:idx val="5"/>
              <c:tx>
                <c:rich>
                  <a:bodyPr rot="0" spcFirstLastPara="1" vertOverflow="clip" horzOverflow="clip" vert="horz" wrap="square" lIns="38100" tIns="19050" rIns="38100" bIns="19050" anchor="ctr" anchorCtr="1">
                    <a:spAutoFit/>
                  </a:bodyPr>
                  <a:lstStyle/>
                  <a:p>
                    <a:pPr>
                      <a:defRPr sz="12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altLang="ko-KR" b="1"/>
                      <a:t>S8</a:t>
                    </a:r>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ko-KR"/>
              </a:p>
            </c:txPr>
            <c:showLegendKey val="0"/>
            <c:showVal val="0"/>
            <c:showCatName val="0"/>
            <c:showSerName val="0"/>
            <c:showPercent val="0"/>
            <c:showBubbleSize val="0"/>
            <c:extLst>
              <c:ext xmlns:c15="http://schemas.microsoft.com/office/drawing/2012/chart" uri="{CE6537A1-D6FC-4f65-9D91-7224C49458BB}">
                <c15:showLeaderLines val="0"/>
              </c:ext>
            </c:extLst>
          </c:dLbls>
          <c:xVal>
            <c:numRef>
              <c:f>'Figure최적 Pump P'!$W$8:$AD$8</c:f>
              <c:numCache>
                <c:formatCode>General</c:formatCode>
                <c:ptCount val="8"/>
                <c:pt idx="0">
                  <c:v>-261268.14</c:v>
                </c:pt>
                <c:pt idx="1">
                  <c:v>-258885.58</c:v>
                </c:pt>
                <c:pt idx="2">
                  <c:v>-249196.02</c:v>
                </c:pt>
                <c:pt idx="4">
                  <c:v>-163843.47</c:v>
                </c:pt>
                <c:pt idx="5">
                  <c:v>-157871.26999999999</c:v>
                </c:pt>
                <c:pt idx="6">
                  <c:v>-151838.47</c:v>
                </c:pt>
                <c:pt idx="7">
                  <c:v>-151838.47</c:v>
                </c:pt>
              </c:numCache>
            </c:numRef>
          </c:xVal>
          <c:yVal>
            <c:numRef>
              <c:f>'Figure최적 Pump P'!$W$9:$AD$9</c:f>
              <c:numCache>
                <c:formatCode>General</c:formatCode>
                <c:ptCount val="8"/>
                <c:pt idx="0">
                  <c:v>-115.63294999999999</c:v>
                </c:pt>
                <c:pt idx="1">
                  <c:v>-109.17949</c:v>
                </c:pt>
                <c:pt idx="2">
                  <c:v>-85.932272999999995</c:v>
                </c:pt>
                <c:pt idx="4">
                  <c:v>34.311644600000001</c:v>
                </c:pt>
                <c:pt idx="5">
                  <c:v>62.737569200000003</c:v>
                </c:pt>
                <c:pt idx="6">
                  <c:v>-18.597660999999999</c:v>
                </c:pt>
                <c:pt idx="7">
                  <c:v>-18.597660999999999</c:v>
                </c:pt>
              </c:numCache>
            </c:numRef>
          </c:yVal>
          <c:smooth val="0"/>
        </c:ser>
        <c:ser>
          <c:idx val="7"/>
          <c:order val="7"/>
          <c:tx>
            <c:strRef>
              <c:f>'Figure최적 Pump P'!$AK$2</c:f>
              <c:strCache>
                <c:ptCount val="1"/>
                <c:pt idx="0">
                  <c:v>33.9evap</c:v>
                </c:pt>
              </c:strCache>
            </c:strRef>
          </c:tx>
          <c:spPr>
            <a:ln w="12700" cap="rnd">
              <a:solidFill>
                <a:schemeClr val="tx1"/>
              </a:solidFill>
              <a:prstDash val="solid"/>
              <a:round/>
            </a:ln>
            <a:effectLst/>
          </c:spPr>
          <c:marker>
            <c:symbol val="none"/>
          </c:marker>
          <c:dLbls>
            <c:dLbl>
              <c:idx val="1"/>
              <c:layout>
                <c:manualLayout>
                  <c:x val="-5.7948603422134835E-2"/>
                  <c:y val="-3.6359641091375211E-2"/>
                </c:manualLayout>
              </c:layout>
              <c:tx>
                <c:rich>
                  <a:bodyPr rot="0" spcFirstLastPara="1" vertOverflow="clip" horzOverflow="clip" vert="horz" wrap="square" lIns="38100" tIns="19050" rIns="38100" bIns="19050" anchor="ctr" anchorCtr="1">
                    <a:spAutoFit/>
                  </a:bodyPr>
                  <a:lstStyle/>
                  <a:p>
                    <a:pPr>
                      <a:defRPr sz="12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altLang="ko-KR" b="1"/>
                      <a:t>S3</a:t>
                    </a:r>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15:layout>
                    <c:manualLayout>
                      <c:w val="4.1784625692007867E-2"/>
                      <c:h val="4.2429487011797946E-2"/>
                    </c:manualLayout>
                  </c15:layout>
                </c:ext>
              </c:extLst>
            </c:dLbl>
            <c:dLbl>
              <c:idx val="26"/>
              <c:layout>
                <c:manualLayout>
                  <c:x val="-4.9665234017542338E-2"/>
                  <c:y val="-4.1922725974438468E-2"/>
                </c:manualLayout>
              </c:layout>
              <c:tx>
                <c:rich>
                  <a:bodyPr rot="0" spcFirstLastPara="1" vertOverflow="clip" horzOverflow="clip" vert="horz" wrap="square" lIns="38100" tIns="19050" rIns="38100" bIns="19050" anchor="ctr" anchorCtr="1">
                    <a:spAutoFit/>
                  </a:bodyPr>
                  <a:lstStyle/>
                  <a:p>
                    <a:pPr>
                      <a:defRPr sz="12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altLang="ko-KR" b="1" baseline="0"/>
                      <a:t>S5</a:t>
                    </a:r>
                    <a:endParaRPr lang="en-US" altLang="ko-KR" b="1"/>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ext>
              </c:extLst>
            </c:dLbl>
            <c:dLbl>
              <c:idx val="29"/>
              <c:layout>
                <c:manualLayout>
                  <c:x val="5.5080042547456694E-3"/>
                  <c:y val="-3.5629087245466054E-2"/>
                </c:manualLayout>
              </c:layout>
              <c:tx>
                <c:rich>
                  <a:bodyPr rot="0" spcFirstLastPara="1" vertOverflow="clip" horzOverflow="clip" vert="horz" wrap="square" lIns="38100" tIns="19050" rIns="38100" bIns="19050" anchor="ctr" anchorCtr="1">
                    <a:spAutoFit/>
                  </a:bodyPr>
                  <a:lstStyle/>
                  <a:p>
                    <a:pPr>
                      <a:defRPr sz="12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altLang="ko-KR" b="1"/>
                      <a:t>S6</a:t>
                    </a:r>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ext>
              </c:extLst>
            </c:dLbl>
            <c:dLbl>
              <c:idx val="30"/>
              <c:tx>
                <c:rich>
                  <a:bodyPr rot="0" spcFirstLastPara="1" vertOverflow="clip" horzOverflow="clip" vert="horz" wrap="square" lIns="38100" tIns="19050" rIns="38100" bIns="19050" anchor="ctr" anchorCtr="1">
                    <a:spAutoFit/>
                  </a:bodyPr>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altLang="ko-KR" b="1"/>
                      <a:t>S7</a:t>
                    </a:r>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ko-KR"/>
              </a:p>
            </c:txPr>
            <c:showLegendKey val="0"/>
            <c:showVal val="0"/>
            <c:showCatName val="0"/>
            <c:showSerName val="0"/>
            <c:showPercent val="0"/>
            <c:showBubbleSize val="0"/>
            <c:extLst>
              <c:ext xmlns:c15="http://schemas.microsoft.com/office/drawing/2012/chart" uri="{CE6537A1-D6FC-4f65-9D91-7224C49458BB}">
                <c15:showLeaderLines val="0"/>
              </c:ext>
            </c:extLst>
          </c:dLbls>
          <c:xVal>
            <c:numRef>
              <c:f>'Figure최적 Pump P'!$AL$9:$AL$40</c:f>
              <c:numCache>
                <c:formatCode>General</c:formatCode>
                <c:ptCount val="32"/>
                <c:pt idx="0">
                  <c:v>-249196.04</c:v>
                </c:pt>
                <c:pt idx="1">
                  <c:v>-247007.84</c:v>
                </c:pt>
                <c:pt idx="2">
                  <c:v>-244820.24</c:v>
                </c:pt>
                <c:pt idx="3">
                  <c:v>-242631.73</c:v>
                </c:pt>
                <c:pt idx="4">
                  <c:v>-240440.29</c:v>
                </c:pt>
                <c:pt idx="5">
                  <c:v>-238243.38</c:v>
                </c:pt>
                <c:pt idx="6">
                  <c:v>-236037.84</c:v>
                </c:pt>
                <c:pt idx="7">
                  <c:v>-233819.75</c:v>
                </c:pt>
                <c:pt idx="8">
                  <c:v>-231584.26</c:v>
                </c:pt>
                <c:pt idx="9">
                  <c:v>-229325.28</c:v>
                </c:pt>
                <c:pt idx="10">
                  <c:v>-227034.98</c:v>
                </c:pt>
                <c:pt idx="11">
                  <c:v>-224703.16</c:v>
                </c:pt>
                <c:pt idx="12">
                  <c:v>-222315.92</c:v>
                </c:pt>
                <c:pt idx="13">
                  <c:v>-219853.65</c:v>
                </c:pt>
                <c:pt idx="14">
                  <c:v>-215684.58</c:v>
                </c:pt>
                <c:pt idx="15">
                  <c:v>-209396.38</c:v>
                </c:pt>
                <c:pt idx="16">
                  <c:v>-202783.6</c:v>
                </c:pt>
                <c:pt idx="17">
                  <c:v>-196367.88</c:v>
                </c:pt>
                <c:pt idx="18">
                  <c:v>-190972.95</c:v>
                </c:pt>
                <c:pt idx="19">
                  <c:v>-186764.71</c:v>
                </c:pt>
                <c:pt idx="20">
                  <c:v>-183395.51</c:v>
                </c:pt>
                <c:pt idx="21">
                  <c:v>-180529.8</c:v>
                </c:pt>
                <c:pt idx="22">
                  <c:v>-177956.87</c:v>
                </c:pt>
                <c:pt idx="23">
                  <c:v>-175552.37</c:v>
                </c:pt>
                <c:pt idx="24">
                  <c:v>-173240.14</c:v>
                </c:pt>
                <c:pt idx="25">
                  <c:v>-170970.34</c:v>
                </c:pt>
                <c:pt idx="26">
                  <c:v>-169032.48</c:v>
                </c:pt>
                <c:pt idx="27">
                  <c:v>-167757.07</c:v>
                </c:pt>
                <c:pt idx="28">
                  <c:v>-166514.38</c:v>
                </c:pt>
                <c:pt idx="29">
                  <c:v>-165300.10999999999</c:v>
                </c:pt>
                <c:pt idx="30">
                  <c:v>-163843.47</c:v>
                </c:pt>
              </c:numCache>
            </c:numRef>
          </c:xVal>
          <c:yVal>
            <c:numRef>
              <c:f>'Figure최적 Pump P'!$AK$9:$AK$40</c:f>
              <c:numCache>
                <c:formatCode>General</c:formatCode>
                <c:ptCount val="32"/>
                <c:pt idx="0">
                  <c:v>-85.932299999999998</c:v>
                </c:pt>
                <c:pt idx="1">
                  <c:v>-80.669725999999997</c:v>
                </c:pt>
                <c:pt idx="2">
                  <c:v>-75.407151999999996</c:v>
                </c:pt>
                <c:pt idx="3">
                  <c:v>-70.144578999999993</c:v>
                </c:pt>
                <c:pt idx="4">
                  <c:v>-64.882005000000007</c:v>
                </c:pt>
                <c:pt idx="5">
                  <c:v>-59.619430999999999</c:v>
                </c:pt>
                <c:pt idx="6">
                  <c:v>-54.356856999999998</c:v>
                </c:pt>
                <c:pt idx="7">
                  <c:v>-49.094282999999997</c:v>
                </c:pt>
                <c:pt idx="8">
                  <c:v>-43.831710000000001</c:v>
                </c:pt>
                <c:pt idx="9">
                  <c:v>-38.569136</c:v>
                </c:pt>
                <c:pt idx="10">
                  <c:v>-33.306562</c:v>
                </c:pt>
                <c:pt idx="11">
                  <c:v>-28.043987999999999</c:v>
                </c:pt>
                <c:pt idx="12">
                  <c:v>-22.781414999999999</c:v>
                </c:pt>
                <c:pt idx="13">
                  <c:v>-17.518840999999998</c:v>
                </c:pt>
                <c:pt idx="14">
                  <c:v>-12.256266999999999</c:v>
                </c:pt>
                <c:pt idx="15">
                  <c:v>-6.9936930999999998</c:v>
                </c:pt>
                <c:pt idx="16">
                  <c:v>-1.7311193</c:v>
                </c:pt>
                <c:pt idx="17">
                  <c:v>3.5314544799999998</c:v>
                </c:pt>
                <c:pt idx="18">
                  <c:v>8.7940282799999991</c:v>
                </c:pt>
                <c:pt idx="19">
                  <c:v>14.056602099999999</c:v>
                </c:pt>
                <c:pt idx="20">
                  <c:v>19.319175900000001</c:v>
                </c:pt>
                <c:pt idx="21">
                  <c:v>24.5817497</c:v>
                </c:pt>
                <c:pt idx="22">
                  <c:v>29.8443234</c:v>
                </c:pt>
                <c:pt idx="23">
                  <c:v>35.106897199999999</c:v>
                </c:pt>
                <c:pt idx="24">
                  <c:v>40.369470999999997</c:v>
                </c:pt>
                <c:pt idx="25">
                  <c:v>45.632044800000003</c:v>
                </c:pt>
                <c:pt idx="26">
                  <c:v>50.894618600000001</c:v>
                </c:pt>
                <c:pt idx="27">
                  <c:v>56.1571924</c:v>
                </c:pt>
                <c:pt idx="28">
                  <c:v>61.419766199999998</c:v>
                </c:pt>
                <c:pt idx="29">
                  <c:v>66.682339999999996</c:v>
                </c:pt>
                <c:pt idx="30">
                  <c:v>34.311644600000001</c:v>
                </c:pt>
              </c:numCache>
            </c:numRef>
          </c:yVal>
          <c:smooth val="0"/>
        </c:ser>
        <c:dLbls>
          <c:showLegendKey val="0"/>
          <c:showVal val="0"/>
          <c:showCatName val="0"/>
          <c:showSerName val="0"/>
          <c:showPercent val="0"/>
          <c:showBubbleSize val="0"/>
        </c:dLbls>
        <c:axId val="579585968"/>
        <c:axId val="579592128"/>
        <c:extLst>
          <c:ext xmlns:c15="http://schemas.microsoft.com/office/drawing/2012/chart" uri="{02D57815-91ED-43cb-92C2-25804820EDAC}">
            <c15:filteredScatterSeries>
              <c15:ser>
                <c:idx val="2"/>
                <c:order val="3"/>
                <c:tx>
                  <c:strRef>
                    <c:extLst>
                      <c:ext uri="{02D57815-91ED-43cb-92C2-25804820EDAC}">
                        <c15:formulaRef>
                          <c15:sqref>'Figure최적 Pump P'!$X$2</c15:sqref>
                        </c15:formulaRef>
                      </c:ext>
                    </c:extLst>
                    <c:strCache>
                      <c:ptCount val="1"/>
                      <c:pt idx="0">
                        <c:v>25bar</c:v>
                      </c:pt>
                    </c:strCache>
                  </c:strRef>
                </c:tx>
                <c:spPr>
                  <a:ln w="19050" cap="rnd">
                    <a:solidFill>
                      <a:schemeClr val="bg1">
                        <a:lumMod val="50000"/>
                      </a:schemeClr>
                    </a:solidFill>
                    <a:prstDash val="sysDot"/>
                    <a:round/>
                  </a:ln>
                  <a:effectLst/>
                </c:spPr>
                <c:marker>
                  <c:symbol val="none"/>
                </c:marker>
                <c:xVal>
                  <c:numRef>
                    <c:extLst>
                      <c:ext uri="{02D57815-91ED-43cb-92C2-25804820EDAC}">
                        <c15:formulaRef>
                          <c15:sqref>'Figure최적 Pump P'!$W$4:$AD$4</c15:sqref>
                        </c15:formulaRef>
                      </c:ext>
                    </c:extLst>
                    <c:numCache>
                      <c:formatCode>General</c:formatCode>
                      <c:ptCount val="8"/>
                      <c:pt idx="0">
                        <c:v>-261268.14</c:v>
                      </c:pt>
                      <c:pt idx="1">
                        <c:v>-259528.54</c:v>
                      </c:pt>
                      <c:pt idx="2">
                        <c:v>-250661.17</c:v>
                      </c:pt>
                      <c:pt idx="4">
                        <c:v>-158148.74</c:v>
                      </c:pt>
                      <c:pt idx="5">
                        <c:v>-147939.78</c:v>
                      </c:pt>
                      <c:pt idx="6">
                        <c:v>-144491.79999999999</c:v>
                      </c:pt>
                      <c:pt idx="7">
                        <c:v>-151838.46</c:v>
                      </c:pt>
                    </c:numCache>
                  </c:numRef>
                </c:xVal>
                <c:yVal>
                  <c:numRef>
                    <c:extLst>
                      <c:ext uri="{02D57815-91ED-43cb-92C2-25804820EDAC}">
                        <c15:formulaRef>
                          <c15:sqref>'Figure최적 Pump P'!$W$5:$AD$5</c15:sqref>
                        </c15:formulaRef>
                      </c:ext>
                    </c:extLst>
                    <c:numCache>
                      <c:formatCode>General</c:formatCode>
                      <c:ptCount val="8"/>
                      <c:pt idx="0">
                        <c:v>-115.63294999999999</c:v>
                      </c:pt>
                      <c:pt idx="1">
                        <c:v>-110.93151</c:v>
                      </c:pt>
                      <c:pt idx="2">
                        <c:v>-89.730059999999995</c:v>
                      </c:pt>
                      <c:pt idx="4">
                        <c:v>11.795362799999999</c:v>
                      </c:pt>
                      <c:pt idx="5">
                        <c:v>63.069039799999999</c:v>
                      </c:pt>
                      <c:pt idx="6">
                        <c:v>17.920422800000001</c:v>
                      </c:pt>
                      <c:pt idx="7">
                        <c:v>-18.597612000000002</c:v>
                      </c:pt>
                    </c:numCache>
                  </c:numRef>
                </c:yVal>
                <c:smooth val="0"/>
              </c15:ser>
            </c15:filteredScatterSeries>
            <c15:filteredScatterSeries>
              <c15:ser>
                <c:idx val="5"/>
                <c:order val="5"/>
                <c:tx>
                  <c:strRef>
                    <c:extLst xmlns:c15="http://schemas.microsoft.com/office/drawing/2012/chart">
                      <c:ext xmlns:c15="http://schemas.microsoft.com/office/drawing/2012/chart" uri="{02D57815-91ED-43cb-92C2-25804820EDAC}">
                        <c15:formulaRef>
                          <c15:sqref>'Figure최적 Pump P'!$X$10</c15:sqref>
                        </c15:formulaRef>
                      </c:ext>
                    </c:extLst>
                    <c:strCache>
                      <c:ptCount val="1"/>
                      <c:pt idx="0">
                        <c:v>35bar</c:v>
                      </c:pt>
                    </c:strCache>
                  </c:strRef>
                </c:tx>
                <c:spPr>
                  <a:ln w="19050" cap="rnd">
                    <a:solidFill>
                      <a:schemeClr val="bg1">
                        <a:lumMod val="65000"/>
                      </a:schemeClr>
                    </a:solidFill>
                    <a:prstDash val="dashDot"/>
                    <a:round/>
                  </a:ln>
                  <a:effectLst/>
                </c:spPr>
                <c:marker>
                  <c:symbol val="none"/>
                </c:marker>
                <c:dPt>
                  <c:idx val="5"/>
                  <c:bubble3D val="0"/>
                  <c:spPr>
                    <a:ln w="19050" cap="rnd">
                      <a:solidFill>
                        <a:schemeClr val="tx1">
                          <a:lumMod val="50000"/>
                          <a:lumOff val="50000"/>
                        </a:schemeClr>
                      </a:solidFill>
                      <a:prstDash val="dashDot"/>
                      <a:round/>
                    </a:ln>
                    <a:effectLst/>
                  </c:spPr>
                </c:dPt>
                <c:dPt>
                  <c:idx val="6"/>
                  <c:bubble3D val="0"/>
                  <c:spPr>
                    <a:ln w="19050" cap="rnd">
                      <a:solidFill>
                        <a:schemeClr val="tx1">
                          <a:lumMod val="50000"/>
                          <a:lumOff val="50000"/>
                        </a:schemeClr>
                      </a:solidFill>
                      <a:prstDash val="dashDot"/>
                      <a:round/>
                    </a:ln>
                    <a:effectLst/>
                  </c:spPr>
                </c:dPt>
                <c:xVal>
                  <c:numRef>
                    <c:extLst xmlns:c15="http://schemas.microsoft.com/office/drawing/2012/chart">
                      <c:ext xmlns:c15="http://schemas.microsoft.com/office/drawing/2012/chart" uri="{02D57815-91ED-43cb-92C2-25804820EDAC}">
                        <c15:formulaRef>
                          <c15:sqref>'Figure최적 Pump P'!$W$11:$AD$11</c15:sqref>
                        </c15:formulaRef>
                      </c:ext>
                    </c:extLst>
                    <c:numCache>
                      <c:formatCode>General</c:formatCode>
                      <c:ptCount val="8"/>
                      <c:pt idx="0">
                        <c:v>-261268.14</c:v>
                      </c:pt>
                      <c:pt idx="1">
                        <c:v>-258806.63</c:v>
                      </c:pt>
                      <c:pt idx="2">
                        <c:v>-250707.9</c:v>
                      </c:pt>
                      <c:pt idx="4">
                        <c:v>-164391.93</c:v>
                      </c:pt>
                      <c:pt idx="5">
                        <c:v>-158954.63</c:v>
                      </c:pt>
                      <c:pt idx="6">
                        <c:v>-153875.93</c:v>
                      </c:pt>
                      <c:pt idx="7">
                        <c:v>-151838.46</c:v>
                      </c:pt>
                    </c:numCache>
                  </c:numRef>
                </c:xVal>
                <c:yVal>
                  <c:numRef>
                    <c:extLst xmlns:c15="http://schemas.microsoft.com/office/drawing/2012/chart">
                      <c:ext xmlns:c15="http://schemas.microsoft.com/office/drawing/2012/chart" uri="{02D57815-91ED-43cb-92C2-25804820EDAC}">
                        <c15:formulaRef>
                          <c15:sqref>'Figure최적 Pump P'!$W$12:$AD$12</c15:sqref>
                        </c15:formulaRef>
                      </c:ext>
                    </c:extLst>
                    <c:numCache>
                      <c:formatCode>General</c:formatCode>
                      <c:ptCount val="8"/>
                      <c:pt idx="0">
                        <c:v>-115.63294999999999</c:v>
                      </c:pt>
                      <c:pt idx="1">
                        <c:v>-108.96379</c:v>
                      </c:pt>
                      <c:pt idx="2">
                        <c:v>-89.532205000000005</c:v>
                      </c:pt>
                      <c:pt idx="4">
                        <c:v>36.303954900000001</c:v>
                      </c:pt>
                      <c:pt idx="5">
                        <c:v>61.9269818</c:v>
                      </c:pt>
                      <c:pt idx="6">
                        <c:v>-10.340922000000001</c:v>
                      </c:pt>
                      <c:pt idx="7">
                        <c:v>-18.597612000000002</c:v>
                      </c:pt>
                    </c:numCache>
                  </c:numRef>
                </c:yVal>
                <c:smooth val="0"/>
              </c15:ser>
            </c15:filteredScatterSeries>
            <c15:filteredScatterSeries>
              <c15:ser>
                <c:idx val="6"/>
                <c:order val="6"/>
                <c:tx>
                  <c:v>25evap</c:v>
                </c:tx>
                <c:spPr>
                  <a:ln w="19050" cap="rnd">
                    <a:solidFill>
                      <a:schemeClr val="bg1">
                        <a:lumMod val="50000"/>
                      </a:schemeClr>
                    </a:solidFill>
                    <a:prstDash val="sysDot"/>
                    <a:round/>
                  </a:ln>
                  <a:effectLst/>
                </c:spPr>
                <c:marker>
                  <c:symbol val="none"/>
                </c:marker>
                <c:xVal>
                  <c:numRef>
                    <c:extLst xmlns:c15="http://schemas.microsoft.com/office/drawing/2012/chart">
                      <c:ext xmlns:c15="http://schemas.microsoft.com/office/drawing/2012/chart" uri="{02D57815-91ED-43cb-92C2-25804820EDAC}">
                        <c15:formulaRef>
                          <c15:sqref>'Figure최적 Pump P'!$AJ$9:$AJ$41</c15:sqref>
                        </c15:formulaRef>
                      </c:ext>
                    </c:extLst>
                    <c:numCache>
                      <c:formatCode>General</c:formatCode>
                      <c:ptCount val="33"/>
                      <c:pt idx="0">
                        <c:v>-250661.2</c:v>
                      </c:pt>
                      <c:pt idx="1">
                        <c:v>-248400.57</c:v>
                      </c:pt>
                      <c:pt idx="2">
                        <c:v>-246140.32</c:v>
                      </c:pt>
                      <c:pt idx="3">
                        <c:v>-243878.93</c:v>
                      </c:pt>
                      <c:pt idx="4">
                        <c:v>-241614.3</c:v>
                      </c:pt>
                      <c:pt idx="5">
                        <c:v>-239343.69</c:v>
                      </c:pt>
                      <c:pt idx="6">
                        <c:v>-237063.64</c:v>
                      </c:pt>
                      <c:pt idx="7">
                        <c:v>-234769.76</c:v>
                      </c:pt>
                      <c:pt idx="8">
                        <c:v>-232456.54</c:v>
                      </c:pt>
                      <c:pt idx="9">
                        <c:v>-230116.95</c:v>
                      </c:pt>
                      <c:pt idx="10">
                        <c:v>-227741.77</c:v>
                      </c:pt>
                      <c:pt idx="11">
                        <c:v>-225318.67</c:v>
                      </c:pt>
                      <c:pt idx="12">
                        <c:v>-219702.64</c:v>
                      </c:pt>
                      <c:pt idx="13">
                        <c:v>-213070.4</c:v>
                      </c:pt>
                      <c:pt idx="14">
                        <c:v>-205752.42</c:v>
                      </c:pt>
                      <c:pt idx="15">
                        <c:v>-198139.69</c:v>
                      </c:pt>
                      <c:pt idx="16">
                        <c:v>-191595.67</c:v>
                      </c:pt>
                      <c:pt idx="17">
                        <c:v>-186742.82</c:v>
                      </c:pt>
                      <c:pt idx="18">
                        <c:v>-183091.38</c:v>
                      </c:pt>
                      <c:pt idx="19">
                        <c:v>-180107.98</c:v>
                      </c:pt>
                      <c:pt idx="20">
                        <c:v>-177484.33</c:v>
                      </c:pt>
                      <c:pt idx="21">
                        <c:v>-175052.03</c:v>
                      </c:pt>
                      <c:pt idx="22">
                        <c:v>-172714.4</c:v>
                      </c:pt>
                      <c:pt idx="23">
                        <c:v>-170410.93</c:v>
                      </c:pt>
                      <c:pt idx="24">
                        <c:v>-168099.9</c:v>
                      </c:pt>
                      <c:pt idx="25">
                        <c:v>-166205.32</c:v>
                      </c:pt>
                      <c:pt idx="26">
                        <c:v>-164983.92000000001</c:v>
                      </c:pt>
                      <c:pt idx="27">
                        <c:v>-163784.41</c:v>
                      </c:pt>
                      <c:pt idx="28">
                        <c:v>-162604.63</c:v>
                      </c:pt>
                      <c:pt idx="29">
                        <c:v>-161442.79999999999</c:v>
                      </c:pt>
                      <c:pt idx="30">
                        <c:v>-161442.79</c:v>
                      </c:pt>
                      <c:pt idx="31">
                        <c:v>-161442.79</c:v>
                      </c:pt>
                      <c:pt idx="32">
                        <c:v>-158148.74</c:v>
                      </c:pt>
                    </c:numCache>
                  </c:numRef>
                </c:xVal>
                <c:yVal>
                  <c:numRef>
                    <c:extLst xmlns:c15="http://schemas.microsoft.com/office/drawing/2012/chart">
                      <c:ext xmlns:c15="http://schemas.microsoft.com/office/drawing/2012/chart" uri="{02D57815-91ED-43cb-92C2-25804820EDAC}">
                        <c15:formulaRef>
                          <c15:sqref>'Figure최적 Pump P'!$AI$9:$AI$41</c15:sqref>
                        </c15:formulaRef>
                      </c:ext>
                    </c:extLst>
                    <c:numCache>
                      <c:formatCode>General</c:formatCode>
                      <c:ptCount val="33"/>
                      <c:pt idx="0">
                        <c:v>-89.730099999999993</c:v>
                      </c:pt>
                      <c:pt idx="1">
                        <c:v>-84.317103000000003</c:v>
                      </c:pt>
                      <c:pt idx="2">
                        <c:v>-78.904106999999996</c:v>
                      </c:pt>
                      <c:pt idx="3">
                        <c:v>-73.491110000000006</c:v>
                      </c:pt>
                      <c:pt idx="4">
                        <c:v>-68.078113999999999</c:v>
                      </c:pt>
                      <c:pt idx="5">
                        <c:v>-62.665117000000002</c:v>
                      </c:pt>
                      <c:pt idx="6">
                        <c:v>-57.252121000000002</c:v>
                      </c:pt>
                      <c:pt idx="7">
                        <c:v>-51.839123999999998</c:v>
                      </c:pt>
                      <c:pt idx="8">
                        <c:v>-46.426127999999999</c:v>
                      </c:pt>
                      <c:pt idx="9">
                        <c:v>-41.013131000000001</c:v>
                      </c:pt>
                      <c:pt idx="10">
                        <c:v>-35.600135000000002</c:v>
                      </c:pt>
                      <c:pt idx="11">
                        <c:v>-30.187138000000001</c:v>
                      </c:pt>
                      <c:pt idx="12">
                        <c:v>-24.774141</c:v>
                      </c:pt>
                      <c:pt idx="13">
                        <c:v>-19.361145</c:v>
                      </c:pt>
                      <c:pt idx="14">
                        <c:v>-13.948148</c:v>
                      </c:pt>
                      <c:pt idx="15">
                        <c:v>-8.5351517000000001</c:v>
                      </c:pt>
                      <c:pt idx="16">
                        <c:v>-3.1221551999999999</c:v>
                      </c:pt>
                      <c:pt idx="17">
                        <c:v>2.2908413799999998</c:v>
                      </c:pt>
                      <c:pt idx="18">
                        <c:v>7.7038379299999997</c:v>
                      </c:pt>
                      <c:pt idx="19">
                        <c:v>13.1168345</c:v>
                      </c:pt>
                      <c:pt idx="20">
                        <c:v>18.529831000000001</c:v>
                      </c:pt>
                      <c:pt idx="21">
                        <c:v>23.942827600000001</c:v>
                      </c:pt>
                      <c:pt idx="22">
                        <c:v>29.3558241</c:v>
                      </c:pt>
                      <c:pt idx="23">
                        <c:v>34.768820699999999</c:v>
                      </c:pt>
                      <c:pt idx="24">
                        <c:v>40.181817199999998</c:v>
                      </c:pt>
                      <c:pt idx="25">
                        <c:v>45.594813799999997</c:v>
                      </c:pt>
                      <c:pt idx="26">
                        <c:v>51.007810300000003</c:v>
                      </c:pt>
                      <c:pt idx="27">
                        <c:v>56.420806900000002</c:v>
                      </c:pt>
                      <c:pt idx="28">
                        <c:v>61.833803400000001</c:v>
                      </c:pt>
                      <c:pt idx="29">
                        <c:v>67.246790399999995</c:v>
                      </c:pt>
                      <c:pt idx="30">
                        <c:v>67.246799999999993</c:v>
                      </c:pt>
                      <c:pt idx="31">
                        <c:v>67.246790399999995</c:v>
                      </c:pt>
                      <c:pt idx="32">
                        <c:v>11.795362799999999</c:v>
                      </c:pt>
                    </c:numCache>
                  </c:numRef>
                </c:yVal>
                <c:smooth val="0"/>
              </c15:ser>
            </c15:filteredScatterSeries>
            <c15:filteredScatterSeries>
              <c15:ser>
                <c:idx val="8"/>
                <c:order val="8"/>
                <c:tx>
                  <c:strRef>
                    <c:extLst xmlns:c15="http://schemas.microsoft.com/office/drawing/2012/chart">
                      <c:ext xmlns:c15="http://schemas.microsoft.com/office/drawing/2012/chart" uri="{02D57815-91ED-43cb-92C2-25804820EDAC}">
                        <c15:formulaRef>
                          <c15:sqref>'Figure최적 Pump P'!$AM$2</c15:sqref>
                        </c15:formulaRef>
                      </c:ext>
                    </c:extLst>
                    <c:strCache>
                      <c:ptCount val="1"/>
                      <c:pt idx="0">
                        <c:v>35evap</c:v>
                      </c:pt>
                    </c:strCache>
                  </c:strRef>
                </c:tx>
                <c:spPr>
                  <a:ln w="19050" cap="rnd">
                    <a:solidFill>
                      <a:schemeClr val="tx1">
                        <a:lumMod val="50000"/>
                        <a:lumOff val="50000"/>
                      </a:schemeClr>
                    </a:solidFill>
                    <a:prstDash val="dashDot"/>
                    <a:round/>
                  </a:ln>
                  <a:effectLst/>
                </c:spPr>
                <c:marker>
                  <c:symbol val="none"/>
                </c:marker>
                <c:xVal>
                  <c:numRef>
                    <c:extLst xmlns:c15="http://schemas.microsoft.com/office/drawing/2012/chart">
                      <c:ext xmlns:c15="http://schemas.microsoft.com/office/drawing/2012/chart" uri="{02D57815-91ED-43cb-92C2-25804820EDAC}">
                        <c15:formulaRef>
                          <c15:sqref>'Figure최적 Pump P'!$AN$9:$AN$41</c15:sqref>
                        </c15:formulaRef>
                      </c:ext>
                    </c:extLst>
                    <c:numCache>
                      <c:formatCode>General</c:formatCode>
                      <c:ptCount val="33"/>
                      <c:pt idx="0">
                        <c:v>-250707.82</c:v>
                      </c:pt>
                      <c:pt idx="1">
                        <c:v>-248468</c:v>
                      </c:pt>
                      <c:pt idx="2">
                        <c:v>-246229.72</c:v>
                      </c:pt>
                      <c:pt idx="3">
                        <c:v>-243991.71</c:v>
                      </c:pt>
                      <c:pt idx="4">
                        <c:v>-241752.17</c:v>
                      </c:pt>
                      <c:pt idx="5">
                        <c:v>-239508.76</c:v>
                      </c:pt>
                      <c:pt idx="6">
                        <c:v>-237258.52</c:v>
                      </c:pt>
                      <c:pt idx="7">
                        <c:v>-234997.81</c:v>
                      </c:pt>
                      <c:pt idx="8">
                        <c:v>-232722.07</c:v>
                      </c:pt>
                      <c:pt idx="9">
                        <c:v>-230425.60000000001</c:v>
                      </c:pt>
                      <c:pt idx="10">
                        <c:v>-228101.16</c:v>
                      </c:pt>
                      <c:pt idx="11">
                        <c:v>-225739.35</c:v>
                      </c:pt>
                      <c:pt idx="12">
                        <c:v>-223327.61</c:v>
                      </c:pt>
                      <c:pt idx="13">
                        <c:v>-220848.43</c:v>
                      </c:pt>
                      <c:pt idx="14">
                        <c:v>-218276.2</c:v>
                      </c:pt>
                      <c:pt idx="15">
                        <c:v>-212731.51999999999</c:v>
                      </c:pt>
                      <c:pt idx="16">
                        <c:v>-206178.45</c:v>
                      </c:pt>
                      <c:pt idx="17">
                        <c:v>-199483.01</c:v>
                      </c:pt>
                      <c:pt idx="18">
                        <c:v>-193446.3</c:v>
                      </c:pt>
                      <c:pt idx="19">
                        <c:v>-188635.92</c:v>
                      </c:pt>
                      <c:pt idx="20">
                        <c:v>-184863.88</c:v>
                      </c:pt>
                      <c:pt idx="21">
                        <c:v>-181744.3</c:v>
                      </c:pt>
                      <c:pt idx="22">
                        <c:v>-179004.74</c:v>
                      </c:pt>
                      <c:pt idx="23">
                        <c:v>-176483.82</c:v>
                      </c:pt>
                      <c:pt idx="24">
                        <c:v>-174085.21</c:v>
                      </c:pt>
                      <c:pt idx="25">
                        <c:v>-171747.91</c:v>
                      </c:pt>
                      <c:pt idx="26">
                        <c:v>-169589.48</c:v>
                      </c:pt>
                      <c:pt idx="27">
                        <c:v>-168264.86</c:v>
                      </c:pt>
                      <c:pt idx="28">
                        <c:v>-166977.39000000001</c:v>
                      </c:pt>
                      <c:pt idx="29">
                        <c:v>-165721.79999999999</c:v>
                      </c:pt>
                      <c:pt idx="30">
                        <c:v>-165592.01</c:v>
                      </c:pt>
                      <c:pt idx="31">
                        <c:v>-165721.78</c:v>
                      </c:pt>
                      <c:pt idx="32">
                        <c:v>-164391.93</c:v>
                      </c:pt>
                    </c:numCache>
                  </c:numRef>
                </c:xVal>
                <c:yVal>
                  <c:numRef>
                    <c:extLst xmlns:c15="http://schemas.microsoft.com/office/drawing/2012/chart">
                      <c:ext xmlns:c15="http://schemas.microsoft.com/office/drawing/2012/chart" uri="{02D57815-91ED-43cb-92C2-25804820EDAC}">
                        <c15:formulaRef>
                          <c15:sqref>'Figure최적 Pump P'!$AM$9:$AM$41</c15:sqref>
                        </c15:formulaRef>
                      </c:ext>
                    </c:extLst>
                    <c:numCache>
                      <c:formatCode>General</c:formatCode>
                      <c:ptCount val="33"/>
                      <c:pt idx="0">
                        <c:v>-89.531999999999996</c:v>
                      </c:pt>
                      <c:pt idx="1">
                        <c:v>-84.145283000000006</c:v>
                      </c:pt>
                      <c:pt idx="2">
                        <c:v>-78.758566000000002</c:v>
                      </c:pt>
                      <c:pt idx="3">
                        <c:v>-73.371848</c:v>
                      </c:pt>
                      <c:pt idx="4">
                        <c:v>-67.985130999999996</c:v>
                      </c:pt>
                      <c:pt idx="5">
                        <c:v>-62.598413999999998</c:v>
                      </c:pt>
                      <c:pt idx="6">
                        <c:v>-57.211697000000001</c:v>
                      </c:pt>
                      <c:pt idx="7">
                        <c:v>-51.824978999999999</c:v>
                      </c:pt>
                      <c:pt idx="8">
                        <c:v>-46.438262000000002</c:v>
                      </c:pt>
                      <c:pt idx="9">
                        <c:v>-41.051544999999997</c:v>
                      </c:pt>
                      <c:pt idx="10">
                        <c:v>-35.664828</c:v>
                      </c:pt>
                      <c:pt idx="11">
                        <c:v>-30.278110000000002</c:v>
                      </c:pt>
                      <c:pt idx="12">
                        <c:v>-24.891393000000001</c:v>
                      </c:pt>
                      <c:pt idx="13">
                        <c:v>-19.504676</c:v>
                      </c:pt>
                      <c:pt idx="14">
                        <c:v>-14.117959000000001</c:v>
                      </c:pt>
                      <c:pt idx="15">
                        <c:v>-8.7312414</c:v>
                      </c:pt>
                      <c:pt idx="16">
                        <c:v>-3.3445241000000001</c:v>
                      </c:pt>
                      <c:pt idx="17">
                        <c:v>2.0421931</c:v>
                      </c:pt>
                      <c:pt idx="18">
                        <c:v>7.4289103399999998</c:v>
                      </c:pt>
                      <c:pt idx="19">
                        <c:v>12.815627599999999</c:v>
                      </c:pt>
                      <c:pt idx="20">
                        <c:v>18.202344799999999</c:v>
                      </c:pt>
                      <c:pt idx="21">
                        <c:v>23.5890621</c:v>
                      </c:pt>
                      <c:pt idx="22">
                        <c:v>28.975779299999999</c:v>
                      </c:pt>
                      <c:pt idx="23">
                        <c:v>34.3624966</c:v>
                      </c:pt>
                      <c:pt idx="24">
                        <c:v>39.7492138</c:v>
                      </c:pt>
                      <c:pt idx="25">
                        <c:v>45.135930999999999</c:v>
                      </c:pt>
                      <c:pt idx="26">
                        <c:v>50.5226483</c:v>
                      </c:pt>
                      <c:pt idx="27">
                        <c:v>55.9093655</c:v>
                      </c:pt>
                      <c:pt idx="28">
                        <c:v>61.296082800000001</c:v>
                      </c:pt>
                      <c:pt idx="29">
                        <c:v>66.6828</c:v>
                      </c:pt>
                      <c:pt idx="30">
                        <c:v>67.246790399999995</c:v>
                      </c:pt>
                      <c:pt idx="31">
                        <c:v>66.682845200000003</c:v>
                      </c:pt>
                      <c:pt idx="32">
                        <c:v>36.303954900000001</c:v>
                      </c:pt>
                    </c:numCache>
                  </c:numRef>
                </c:yVal>
                <c:smooth val="0"/>
              </c15:ser>
            </c15:filteredScatterSeries>
          </c:ext>
        </c:extLst>
      </c:scatterChart>
      <c:scatterChart>
        <c:scatterStyle val="lineMarker"/>
        <c:varyColors val="0"/>
        <c:ser>
          <c:idx val="3"/>
          <c:order val="2"/>
          <c:spPr>
            <a:ln w="12700" cap="rnd">
              <a:solidFill>
                <a:schemeClr val="tx1"/>
              </a:solidFill>
              <a:prstDash val="solid"/>
              <a:round/>
            </a:ln>
            <a:effectLst/>
          </c:spPr>
          <c:marker>
            <c:symbol val="none"/>
          </c:marker>
          <c:dLbls>
            <c:dLbl>
              <c:idx val="1"/>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2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ko-KR"/>
                </a:p>
              </c:txPr>
              <c:showLegendKey val="0"/>
              <c:showVal val="0"/>
              <c:showCatName val="0"/>
              <c:showSerName val="0"/>
              <c:showPercent val="0"/>
              <c:showBubbleSize val="0"/>
            </c:dLbl>
            <c:dLbl>
              <c:idx val="50"/>
              <c:tx>
                <c:rich>
                  <a:bodyPr rot="0" spcFirstLastPara="1" vertOverflow="clip" horzOverflow="clip" vert="horz" wrap="square" lIns="38100" tIns="19050" rIns="38100" bIns="19050" anchor="ctr" anchorCtr="1">
                    <a:spAutoFit/>
                  </a:bodyPr>
                  <a:lstStyle/>
                  <a:p>
                    <a:pPr>
                      <a:defRPr sz="12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en-US" altLang="ko-KR" b="1"/>
                      <a:t>S9</a:t>
                    </a:r>
                  </a:p>
                </c:rich>
              </c:tx>
              <c:spPr>
                <a:solidFill>
                  <a:sysClr val="window" lastClr="FFFFFF"/>
                </a:solidFill>
                <a:ln>
                  <a:solidFill>
                    <a:sysClr val="windowText" lastClr="000000">
                      <a:lumMod val="25000"/>
                      <a:lumOff val="75000"/>
                    </a:sysClr>
                  </a:solid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wedgeRectCallout">
                      <a:avLst/>
                    </a:prstGeom>
                  </c15:spPr>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ko-KR"/>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'Figure2T-S diagram'!$V$24:$V$74</c:f>
              <c:numCache>
                <c:formatCode>General</c:formatCode>
                <c:ptCount val="51"/>
                <c:pt idx="0">
                  <c:v>-260526.63</c:v>
                </c:pt>
                <c:pt idx="1">
                  <c:v>-259016.68</c:v>
                </c:pt>
                <c:pt idx="2">
                  <c:v>-257462.95</c:v>
                </c:pt>
                <c:pt idx="3">
                  <c:v>-255850.5</c:v>
                </c:pt>
                <c:pt idx="4">
                  <c:v>-254161.93</c:v>
                </c:pt>
                <c:pt idx="5">
                  <c:v>-252375.9</c:v>
                </c:pt>
                <c:pt idx="6">
                  <c:v>-250469.32</c:v>
                </c:pt>
                <c:pt idx="7">
                  <c:v>-248423.08</c:v>
                </c:pt>
                <c:pt idx="8">
                  <c:v>-246232.31</c:v>
                </c:pt>
                <c:pt idx="9">
                  <c:v>-243917.19</c:v>
                </c:pt>
                <c:pt idx="10">
                  <c:v>-241522.79</c:v>
                </c:pt>
                <c:pt idx="11">
                  <c:v>-239103.04</c:v>
                </c:pt>
                <c:pt idx="12">
                  <c:v>-236702.67</c:v>
                </c:pt>
                <c:pt idx="13">
                  <c:v>-234346.85</c:v>
                </c:pt>
                <c:pt idx="14">
                  <c:v>-232046.64</c:v>
                </c:pt>
                <c:pt idx="15">
                  <c:v>-229803.11</c:v>
                </c:pt>
                <c:pt idx="16">
                  <c:v>-227612.66</c:v>
                </c:pt>
                <c:pt idx="17">
                  <c:v>-225469.91</c:v>
                </c:pt>
                <c:pt idx="18">
                  <c:v>-223369.22</c:v>
                </c:pt>
                <c:pt idx="19">
                  <c:v>-221305.29</c:v>
                </c:pt>
                <c:pt idx="20">
                  <c:v>-219273.35</c:v>
                </c:pt>
                <c:pt idx="21">
                  <c:v>-217269.23</c:v>
                </c:pt>
                <c:pt idx="22">
                  <c:v>-215289.33</c:v>
                </c:pt>
                <c:pt idx="23">
                  <c:v>-213330.35</c:v>
                </c:pt>
                <c:pt idx="24">
                  <c:v>-211389.9</c:v>
                </c:pt>
                <c:pt idx="25">
                  <c:v>-209465.83</c:v>
                </c:pt>
                <c:pt idx="26">
                  <c:v>-207554.7</c:v>
                </c:pt>
                <c:pt idx="27">
                  <c:v>-205656.72</c:v>
                </c:pt>
                <c:pt idx="28">
                  <c:v>-203768.63</c:v>
                </c:pt>
                <c:pt idx="29">
                  <c:v>-201889.34</c:v>
                </c:pt>
                <c:pt idx="30">
                  <c:v>-200017.3</c:v>
                </c:pt>
                <c:pt idx="31">
                  <c:v>-198150.97</c:v>
                </c:pt>
                <c:pt idx="32">
                  <c:v>-196288.76</c:v>
                </c:pt>
                <c:pt idx="33">
                  <c:v>-194428.93</c:v>
                </c:pt>
                <c:pt idx="34">
                  <c:v>-192569.49</c:v>
                </c:pt>
                <c:pt idx="35">
                  <c:v>-190708.04</c:v>
                </c:pt>
                <c:pt idx="36">
                  <c:v>-188841.54</c:v>
                </c:pt>
                <c:pt idx="37">
                  <c:v>-186965.98</c:v>
                </c:pt>
                <c:pt idx="38">
                  <c:v>-185075.7</c:v>
                </c:pt>
                <c:pt idx="39">
                  <c:v>-183162.46</c:v>
                </c:pt>
                <c:pt idx="40">
                  <c:v>-181213.45</c:v>
                </c:pt>
                <c:pt idx="41">
                  <c:v>-179207.55</c:v>
                </c:pt>
                <c:pt idx="42">
                  <c:v>-177107.42</c:v>
                </c:pt>
                <c:pt idx="43">
                  <c:v>-174840.41</c:v>
                </c:pt>
                <c:pt idx="44">
                  <c:v>-172253.69</c:v>
                </c:pt>
                <c:pt idx="45">
                  <c:v>-169024.67</c:v>
                </c:pt>
                <c:pt idx="46">
                  <c:v>-164874.93</c:v>
                </c:pt>
                <c:pt idx="47">
                  <c:v>-160564.89000000001</c:v>
                </c:pt>
                <c:pt idx="48">
                  <c:v>-156760.60999999999</c:v>
                </c:pt>
                <c:pt idx="49">
                  <c:v>-153398.91</c:v>
                </c:pt>
                <c:pt idx="50">
                  <c:v>-151838.47</c:v>
                </c:pt>
              </c:numCache>
            </c:numRef>
          </c:xVal>
          <c:yVal>
            <c:numRef>
              <c:f>'Figure2T-S diagram'!$U$24:$U$74</c:f>
              <c:numCache>
                <c:formatCode>General</c:formatCode>
                <c:ptCount val="51"/>
                <c:pt idx="0">
                  <c:v>-115.36032</c:v>
                </c:pt>
                <c:pt idx="1">
                  <c:v>-114.73220999999999</c:v>
                </c:pt>
                <c:pt idx="2">
                  <c:v>-113.97546</c:v>
                </c:pt>
                <c:pt idx="3">
                  <c:v>-113.05683000000001</c:v>
                </c:pt>
                <c:pt idx="4">
                  <c:v>-111.94065000000001</c:v>
                </c:pt>
                <c:pt idx="5">
                  <c:v>-110.58731</c:v>
                </c:pt>
                <c:pt idx="6">
                  <c:v>-108.96171</c:v>
                </c:pt>
                <c:pt idx="7">
                  <c:v>-107.04949000000001</c:v>
                </c:pt>
                <c:pt idx="8">
                  <c:v>-104.8807</c:v>
                </c:pt>
                <c:pt idx="9">
                  <c:v>-102.54613999999999</c:v>
                </c:pt>
                <c:pt idx="10">
                  <c:v>-100.18102</c:v>
                </c:pt>
                <c:pt idx="11">
                  <c:v>-97.916113999999993</c:v>
                </c:pt>
                <c:pt idx="12">
                  <c:v>-95.838295000000002</c:v>
                </c:pt>
                <c:pt idx="13">
                  <c:v>-93.978644000000003</c:v>
                </c:pt>
                <c:pt idx="14">
                  <c:v>-92.335937000000001</c:v>
                </c:pt>
                <c:pt idx="15">
                  <c:v>-90.889425000000003</c:v>
                </c:pt>
                <c:pt idx="16">
                  <c:v>-89.612982000000002</c:v>
                </c:pt>
                <c:pt idx="17">
                  <c:v>-88.480808999999994</c:v>
                </c:pt>
                <c:pt idx="18">
                  <c:v>-87.470039</c:v>
                </c:pt>
                <c:pt idx="19">
                  <c:v>-86.561043999999995</c:v>
                </c:pt>
                <c:pt idx="20">
                  <c:v>-85.737296000000001</c:v>
                </c:pt>
                <c:pt idx="21">
                  <c:v>-84.984917999999993</c:v>
                </c:pt>
                <c:pt idx="22">
                  <c:v>-84.292224000000004</c:v>
                </c:pt>
                <c:pt idx="23">
                  <c:v>-83.648583000000002</c:v>
                </c:pt>
                <c:pt idx="24">
                  <c:v>-83.046751</c:v>
                </c:pt>
                <c:pt idx="25">
                  <c:v>-82.479596999999998</c:v>
                </c:pt>
                <c:pt idx="26">
                  <c:v>-81.936312999999998</c:v>
                </c:pt>
                <c:pt idx="27">
                  <c:v>-81.417686000000003</c:v>
                </c:pt>
                <c:pt idx="28">
                  <c:v>-80.912492999999998</c:v>
                </c:pt>
                <c:pt idx="29">
                  <c:v>-80.416909000000004</c:v>
                </c:pt>
                <c:pt idx="30">
                  <c:v>-79.925236999999996</c:v>
                </c:pt>
                <c:pt idx="31">
                  <c:v>-79.431419000000005</c:v>
                </c:pt>
                <c:pt idx="32">
                  <c:v>-78.928814000000003</c:v>
                </c:pt>
                <c:pt idx="33">
                  <c:v>-78.409790000000001</c:v>
                </c:pt>
                <c:pt idx="34">
                  <c:v>-77.865200000000002</c:v>
                </c:pt>
                <c:pt idx="35">
                  <c:v>-77.283642999999998</c:v>
                </c:pt>
                <c:pt idx="36">
                  <c:v>-76.650356000000002</c:v>
                </c:pt>
                <c:pt idx="37">
                  <c:v>-75.945463000000004</c:v>
                </c:pt>
                <c:pt idx="38">
                  <c:v>-75.141142000000002</c:v>
                </c:pt>
                <c:pt idx="39">
                  <c:v>-74.196763000000004</c:v>
                </c:pt>
                <c:pt idx="40">
                  <c:v>-73.050066999999999</c:v>
                </c:pt>
                <c:pt idx="41">
                  <c:v>-71.600171000000003</c:v>
                </c:pt>
                <c:pt idx="42">
                  <c:v>-69.672329000000005</c:v>
                </c:pt>
                <c:pt idx="43">
                  <c:v>-66.936367000000004</c:v>
                </c:pt>
                <c:pt idx="44">
                  <c:v>-62.724167999999999</c:v>
                </c:pt>
                <c:pt idx="45">
                  <c:v>-55.724797000000002</c:v>
                </c:pt>
                <c:pt idx="46">
                  <c:v>-45.182333</c:v>
                </c:pt>
                <c:pt idx="47">
                  <c:v>-34.766817000000003</c:v>
                </c:pt>
                <c:pt idx="48">
                  <c:v>-26.920434</c:v>
                </c:pt>
                <c:pt idx="49">
                  <c:v>-21.036394999999999</c:v>
                </c:pt>
                <c:pt idx="50">
                  <c:v>-18.597608999999999</c:v>
                </c:pt>
              </c:numCache>
            </c:numRef>
          </c:yVal>
          <c:smooth val="0"/>
        </c:ser>
        <c:dLbls>
          <c:showLegendKey val="0"/>
          <c:showVal val="0"/>
          <c:showCatName val="0"/>
          <c:showSerName val="0"/>
          <c:showPercent val="0"/>
          <c:showBubbleSize val="0"/>
        </c:dLbls>
        <c:axId val="579593808"/>
        <c:axId val="579579248"/>
      </c:scatterChart>
      <c:valAx>
        <c:axId val="579585968"/>
        <c:scaling>
          <c:orientation val="minMax"/>
          <c:max val="-140000"/>
          <c:min val="-280000"/>
        </c:scaling>
        <c:delete val="0"/>
        <c:axPos val="b"/>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S(J/kmol-K)</a:t>
                </a:r>
                <a:endParaRPr lang="ko-KR" b="1"/>
              </a:p>
            </c:rich>
          </c:tx>
          <c:layout>
            <c:manualLayout>
              <c:xMode val="edge"/>
              <c:yMode val="edge"/>
              <c:x val="0.45495542177877762"/>
              <c:y val="0.93858353091342051"/>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ko-KR"/>
          </a:p>
        </c:txPr>
        <c:crossAx val="579592128"/>
        <c:crossesAt val="-150"/>
        <c:crossBetween val="midCat"/>
      </c:valAx>
      <c:valAx>
        <c:axId val="579592128"/>
        <c:scaling>
          <c:orientation val="minMax"/>
          <c:max val="100"/>
          <c:min val="-150"/>
        </c:scaling>
        <c:delete val="0"/>
        <c:axPos val="l"/>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T(ºC)</a:t>
                </a:r>
                <a:endParaRPr lang="ko-KR" b="1"/>
              </a:p>
            </c:rich>
          </c:tx>
          <c:layout>
            <c:manualLayout>
              <c:xMode val="edge"/>
              <c:yMode val="edge"/>
              <c:x val="1.9260000513101415E-2"/>
              <c:y val="0.42238825430701737"/>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ko-KR"/>
          </a:p>
        </c:txPr>
        <c:crossAx val="579585968"/>
        <c:crossesAt val="-280000"/>
        <c:crossBetween val="midCat"/>
      </c:valAx>
      <c:valAx>
        <c:axId val="579579248"/>
        <c:scaling>
          <c:orientation val="minMax"/>
          <c:max val="100"/>
          <c:min val="-150"/>
        </c:scaling>
        <c:delete val="0"/>
        <c:axPos val="r"/>
        <c:numFmt formatCode="General" sourceLinked="1"/>
        <c:majorTickMark val="in"/>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ko-KR"/>
          </a:p>
        </c:txPr>
        <c:crossAx val="579593808"/>
        <c:crosses val="max"/>
        <c:crossBetween val="midCat"/>
      </c:valAx>
      <c:valAx>
        <c:axId val="579593808"/>
        <c:scaling>
          <c:orientation val="minMax"/>
          <c:max val="-140000"/>
          <c:min val="-280000"/>
        </c:scaling>
        <c:delete val="0"/>
        <c:axPos val="t"/>
        <c:numFmt formatCode="General" sourceLinked="1"/>
        <c:majorTickMark val="in"/>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ko-KR"/>
          </a:p>
        </c:txPr>
        <c:crossAx val="579579248"/>
        <c:crosses val="max"/>
        <c:crossBetween val="midCat"/>
      </c:valAx>
      <c:spPr>
        <a:noFill/>
        <a:ln>
          <a:noFill/>
        </a:ln>
        <a:effectLst/>
      </c:spPr>
    </c:plotArea>
    <c:legend>
      <c:legendPos val="r"/>
      <c:legendEntry>
        <c:idx val="0"/>
        <c:delete val="1"/>
      </c:legendEntry>
      <c:legendEntry>
        <c:idx val="1"/>
        <c:delete val="1"/>
      </c:legendEntry>
      <c:legendEntry>
        <c:idx val="3"/>
        <c:delete val="1"/>
      </c:legendEntry>
      <c:legendEntry>
        <c:idx val="4"/>
        <c:delete val="1"/>
      </c:legendEntry>
      <c:layout>
        <c:manualLayout>
          <c:xMode val="edge"/>
          <c:yMode val="edge"/>
          <c:x val="0.16584698475378601"/>
          <c:y val="0.10082623360314023"/>
          <c:w val="0.15624817892667037"/>
          <c:h val="0.1252191680706004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ko-K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ko-KR"/>
    </a:p>
  </c:txPr>
  <c:externalData r:id="rId1">
    <c:autoUpdate val="0"/>
  </c:externalData>
</c:chartSpace>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759</Words>
  <Characters>4328</Characters>
  <Application>Microsoft Office Word</Application>
  <DocSecurity>0</DocSecurity>
  <Lines>36</Lines>
  <Paragraphs>10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unglee</dc:creator>
  <cp:lastModifiedBy>UngLee</cp:lastModifiedBy>
  <cp:revision>6</cp:revision>
  <dcterms:created xsi:type="dcterms:W3CDTF">2014-05-12T15:52:00Z</dcterms:created>
  <dcterms:modified xsi:type="dcterms:W3CDTF">2014-05-12T16:10:00Z</dcterms:modified>
</cp:coreProperties>
</file>