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D28" w:rsidRPr="006666F7" w:rsidRDefault="00871BC7" w:rsidP="004B21FC">
      <w:pPr>
        <w:spacing w:line="360" w:lineRule="auto"/>
        <w:jc w:val="center"/>
        <w:rPr>
          <w:rFonts w:ascii="Times New Roman" w:hAnsi="Times New Roman" w:cs="Times New Roman"/>
          <w:b/>
          <w:sz w:val="24"/>
          <w:szCs w:val="24"/>
        </w:rPr>
      </w:pPr>
      <w:r w:rsidRPr="006666F7">
        <w:rPr>
          <w:rFonts w:ascii="Times New Roman" w:hAnsi="Times New Roman" w:cs="Times New Roman"/>
          <w:b/>
          <w:sz w:val="24"/>
          <w:szCs w:val="24"/>
        </w:rPr>
        <w:t>Assessing Flexibility and Risk in Supply Chains using Hybrid Simulation based Optimization</w:t>
      </w:r>
    </w:p>
    <w:p w:rsidR="00C93065" w:rsidRPr="006666F7" w:rsidRDefault="00C93065" w:rsidP="00C93065">
      <w:pPr>
        <w:spacing w:after="0" w:line="480" w:lineRule="auto"/>
        <w:jc w:val="center"/>
        <w:rPr>
          <w:rFonts w:ascii="Times New Roman" w:hAnsi="Times New Roman" w:cs="Times New Roman"/>
          <w:b/>
          <w:bCs/>
          <w:sz w:val="24"/>
          <w:szCs w:val="24"/>
        </w:rPr>
      </w:pPr>
      <w:r w:rsidRPr="006666F7">
        <w:rPr>
          <w:rFonts w:ascii="Times New Roman" w:hAnsi="Times New Roman" w:cs="Times New Roman"/>
          <w:b/>
          <w:bCs/>
          <w:sz w:val="24"/>
          <w:szCs w:val="24"/>
        </w:rPr>
        <w:t>Nihar Sahay</w:t>
      </w:r>
      <w:r w:rsidR="00871BC7" w:rsidRPr="006666F7">
        <w:rPr>
          <w:rFonts w:ascii="Times New Roman" w:hAnsi="Times New Roman" w:cs="Times New Roman"/>
          <w:b/>
          <w:bCs/>
          <w:sz w:val="24"/>
          <w:szCs w:val="24"/>
        </w:rPr>
        <w:t xml:space="preserve"> and </w:t>
      </w:r>
      <w:r w:rsidRPr="006666F7">
        <w:rPr>
          <w:rFonts w:ascii="Times New Roman" w:hAnsi="Times New Roman" w:cs="Times New Roman"/>
          <w:b/>
          <w:bCs/>
          <w:sz w:val="24"/>
          <w:szCs w:val="24"/>
        </w:rPr>
        <w:t>Marianthi Ierapetritou</w:t>
      </w:r>
    </w:p>
    <w:p w:rsidR="00C93065" w:rsidRPr="006666F7" w:rsidRDefault="00C93065" w:rsidP="00871BC7">
      <w:pPr>
        <w:spacing w:line="480" w:lineRule="auto"/>
        <w:jc w:val="center"/>
        <w:rPr>
          <w:rFonts w:ascii="Times New Roman" w:hAnsi="Times New Roman" w:cs="Times New Roman"/>
          <w:bCs/>
          <w:sz w:val="24"/>
          <w:szCs w:val="24"/>
        </w:rPr>
      </w:pPr>
      <w:r w:rsidRPr="006666F7">
        <w:rPr>
          <w:rFonts w:ascii="Times New Roman" w:hAnsi="Times New Roman" w:cs="Times New Roman"/>
          <w:bCs/>
          <w:sz w:val="24"/>
          <w:szCs w:val="24"/>
        </w:rPr>
        <w:t>Department of Chemical and Biochemical Engineering, Rutgers University, Piscataway, NJ</w:t>
      </w:r>
    </w:p>
    <w:p w:rsidR="00B066B7" w:rsidRPr="006666F7" w:rsidRDefault="00F7249F" w:rsidP="00C930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goal of an efficient </w:t>
      </w:r>
      <w:r w:rsidR="00857A54" w:rsidRPr="006666F7">
        <w:rPr>
          <w:rFonts w:ascii="Times New Roman" w:hAnsi="Times New Roman" w:cs="Times New Roman"/>
          <w:sz w:val="24"/>
          <w:szCs w:val="24"/>
        </w:rPr>
        <w:t>supply chain</w:t>
      </w:r>
      <w:r>
        <w:rPr>
          <w:rFonts w:ascii="Times New Roman" w:hAnsi="Times New Roman" w:cs="Times New Roman"/>
          <w:sz w:val="24"/>
          <w:szCs w:val="24"/>
        </w:rPr>
        <w:t xml:space="preserve"> is</w:t>
      </w:r>
      <w:r w:rsidR="00857A54" w:rsidRPr="006666F7">
        <w:rPr>
          <w:rFonts w:ascii="Times New Roman" w:hAnsi="Times New Roman" w:cs="Times New Roman"/>
          <w:sz w:val="24"/>
          <w:szCs w:val="24"/>
        </w:rPr>
        <w:t xml:space="preserve"> to produce acceptable quality products and deliver them to customers at a competitive cost with</w:t>
      </w:r>
      <w:r w:rsidR="00C46CD2">
        <w:rPr>
          <w:rFonts w:ascii="Times New Roman" w:hAnsi="Times New Roman" w:cs="Times New Roman"/>
          <w:sz w:val="24"/>
          <w:szCs w:val="24"/>
        </w:rPr>
        <w:t>in</w:t>
      </w:r>
      <w:r w:rsidR="00857A54" w:rsidRPr="006666F7">
        <w:rPr>
          <w:rFonts w:ascii="Times New Roman" w:hAnsi="Times New Roman" w:cs="Times New Roman"/>
          <w:sz w:val="24"/>
          <w:szCs w:val="24"/>
        </w:rPr>
        <w:t xml:space="preserve"> reasonable delivery times. </w:t>
      </w:r>
      <w:r w:rsidR="003042EF" w:rsidRPr="006666F7">
        <w:rPr>
          <w:rFonts w:ascii="Times New Roman" w:hAnsi="Times New Roman" w:cs="Times New Roman"/>
          <w:sz w:val="24"/>
          <w:szCs w:val="24"/>
        </w:rPr>
        <w:t xml:space="preserve">With increasing uncertainty in </w:t>
      </w:r>
      <w:r w:rsidR="007500C8">
        <w:rPr>
          <w:rFonts w:ascii="Times New Roman" w:hAnsi="Times New Roman" w:cs="Times New Roman"/>
          <w:sz w:val="24"/>
          <w:szCs w:val="24"/>
        </w:rPr>
        <w:t xml:space="preserve">product </w:t>
      </w:r>
      <w:r w:rsidR="00C6672F">
        <w:rPr>
          <w:rFonts w:ascii="Times New Roman" w:hAnsi="Times New Roman" w:cs="Times New Roman"/>
          <w:sz w:val="24"/>
          <w:szCs w:val="24"/>
        </w:rPr>
        <w:t>demand, transportation times and production times</w:t>
      </w:r>
      <w:r w:rsidR="003042EF" w:rsidRPr="006666F7">
        <w:rPr>
          <w:rFonts w:ascii="Times New Roman" w:hAnsi="Times New Roman" w:cs="Times New Roman"/>
          <w:sz w:val="24"/>
          <w:szCs w:val="24"/>
        </w:rPr>
        <w:t>, it becomes more challenging to achieve these targets</w:t>
      </w:r>
      <w:r w:rsidR="009C4671">
        <w:rPr>
          <w:rFonts w:ascii="Times New Roman" w:hAnsi="Times New Roman" w:cs="Times New Roman"/>
          <w:sz w:val="24"/>
          <w:szCs w:val="24"/>
        </w:rPr>
        <w:t xml:space="preserve"> </w:t>
      </w:r>
      <w:r>
        <w:rPr>
          <w:rFonts w:ascii="Times New Roman" w:hAnsi="Times New Roman" w:cs="Times New Roman"/>
          <w:sz w:val="24"/>
          <w:szCs w:val="24"/>
        </w:rPr>
        <w:t>thus leading to the introduction of risk in supply chain decision-making</w:t>
      </w:r>
      <w:r w:rsidR="003042EF" w:rsidRPr="006666F7">
        <w:rPr>
          <w:rFonts w:ascii="Times New Roman" w:hAnsi="Times New Roman" w:cs="Times New Roman"/>
          <w:sz w:val="24"/>
          <w:szCs w:val="24"/>
        </w:rPr>
        <w:t xml:space="preserve">. </w:t>
      </w:r>
      <w:r w:rsidR="0024519D" w:rsidRPr="006666F7">
        <w:rPr>
          <w:rFonts w:ascii="Times New Roman" w:hAnsi="Times New Roman" w:cs="Times New Roman"/>
          <w:sz w:val="24"/>
          <w:szCs w:val="24"/>
        </w:rPr>
        <w:t>Along with maintaining efficiency, it is also important that</w:t>
      </w:r>
      <w:r w:rsidR="003042EF" w:rsidRPr="006666F7">
        <w:rPr>
          <w:rFonts w:ascii="Times New Roman" w:hAnsi="Times New Roman" w:cs="Times New Roman"/>
          <w:sz w:val="24"/>
          <w:szCs w:val="24"/>
        </w:rPr>
        <w:t xml:space="preserve"> </w:t>
      </w:r>
      <w:r w:rsidR="0024519D" w:rsidRPr="006666F7">
        <w:rPr>
          <w:rFonts w:ascii="Times New Roman" w:hAnsi="Times New Roman" w:cs="Times New Roman"/>
          <w:sz w:val="24"/>
          <w:szCs w:val="24"/>
        </w:rPr>
        <w:t xml:space="preserve">there is </w:t>
      </w:r>
      <w:r w:rsidR="003042EF" w:rsidRPr="006666F7">
        <w:rPr>
          <w:rFonts w:ascii="Times New Roman" w:hAnsi="Times New Roman" w:cs="Times New Roman"/>
          <w:sz w:val="24"/>
          <w:szCs w:val="24"/>
        </w:rPr>
        <w:t>flexibility within the network</w:t>
      </w:r>
      <w:r w:rsidR="00294FD9">
        <w:rPr>
          <w:rFonts w:ascii="Times New Roman" w:hAnsi="Times New Roman" w:cs="Times New Roman"/>
          <w:sz w:val="24"/>
          <w:szCs w:val="24"/>
        </w:rPr>
        <w:t xml:space="preserve"> </w:t>
      </w:r>
      <w:r>
        <w:rPr>
          <w:rFonts w:ascii="Times New Roman" w:hAnsi="Times New Roman" w:cs="Times New Roman"/>
          <w:sz w:val="24"/>
          <w:szCs w:val="24"/>
        </w:rPr>
        <w:t>so that risk can be</w:t>
      </w:r>
      <w:r w:rsidR="00294FD9">
        <w:rPr>
          <w:rFonts w:ascii="Times New Roman" w:hAnsi="Times New Roman" w:cs="Times New Roman"/>
          <w:sz w:val="24"/>
          <w:szCs w:val="24"/>
        </w:rPr>
        <w:t xml:space="preserve"> controlled</w:t>
      </w:r>
      <w:r w:rsidR="003042EF" w:rsidRPr="006666F7">
        <w:rPr>
          <w:rFonts w:ascii="Times New Roman" w:hAnsi="Times New Roman" w:cs="Times New Roman"/>
          <w:sz w:val="24"/>
          <w:szCs w:val="24"/>
        </w:rPr>
        <w:t>.</w:t>
      </w:r>
      <w:r w:rsidR="00B24458" w:rsidRPr="006666F7">
        <w:rPr>
          <w:rFonts w:ascii="Times New Roman" w:hAnsi="Times New Roman" w:cs="Times New Roman"/>
          <w:sz w:val="24"/>
          <w:szCs w:val="24"/>
        </w:rPr>
        <w:t xml:space="preserve"> </w:t>
      </w:r>
      <w:r w:rsidR="005B0B8D" w:rsidRPr="006666F7">
        <w:rPr>
          <w:rFonts w:ascii="Times New Roman" w:hAnsi="Times New Roman" w:cs="Times New Roman"/>
          <w:sz w:val="24"/>
          <w:szCs w:val="24"/>
        </w:rPr>
        <w:t>There can be many aspects of flexibility</w:t>
      </w:r>
      <w:r w:rsidR="009C4671">
        <w:rPr>
          <w:rFonts w:ascii="Times New Roman" w:hAnsi="Times New Roman" w:cs="Times New Roman"/>
          <w:sz w:val="24"/>
          <w:szCs w:val="24"/>
        </w:rPr>
        <w:t xml:space="preserve"> related to the different processes</w:t>
      </w:r>
      <w:r w:rsidR="005B0B8D" w:rsidRPr="006666F7">
        <w:rPr>
          <w:rFonts w:ascii="Times New Roman" w:hAnsi="Times New Roman" w:cs="Times New Roman"/>
          <w:sz w:val="24"/>
          <w:szCs w:val="24"/>
        </w:rPr>
        <w:t xml:space="preserve">. However, in case of supply chains, </w:t>
      </w:r>
      <w:r>
        <w:rPr>
          <w:rFonts w:ascii="Times New Roman" w:hAnsi="Times New Roman" w:cs="Times New Roman"/>
          <w:sz w:val="24"/>
          <w:szCs w:val="24"/>
        </w:rPr>
        <w:t xml:space="preserve">the </w:t>
      </w:r>
      <w:r w:rsidR="00B24458" w:rsidRPr="006666F7">
        <w:rPr>
          <w:rFonts w:ascii="Times New Roman" w:hAnsi="Times New Roman" w:cs="Times New Roman"/>
          <w:sz w:val="24"/>
          <w:szCs w:val="24"/>
        </w:rPr>
        <w:t xml:space="preserve">total system flexibility </w:t>
      </w:r>
      <w:r w:rsidR="0089082F">
        <w:rPr>
          <w:rFonts w:ascii="Times New Roman" w:hAnsi="Times New Roman" w:cs="Times New Roman"/>
          <w:sz w:val="24"/>
          <w:szCs w:val="24"/>
        </w:rPr>
        <w:t>needs to</w:t>
      </w:r>
      <w:r w:rsidR="005B0B8D" w:rsidRPr="006666F7">
        <w:rPr>
          <w:rFonts w:ascii="Times New Roman" w:hAnsi="Times New Roman" w:cs="Times New Roman"/>
          <w:sz w:val="24"/>
          <w:szCs w:val="24"/>
        </w:rPr>
        <w:t xml:space="preserve"> be </w:t>
      </w:r>
      <w:r>
        <w:rPr>
          <w:rFonts w:ascii="Times New Roman" w:hAnsi="Times New Roman" w:cs="Times New Roman"/>
          <w:sz w:val="24"/>
          <w:szCs w:val="24"/>
        </w:rPr>
        <w:t>evaluated</w:t>
      </w:r>
      <w:r w:rsidRPr="006666F7">
        <w:rPr>
          <w:rFonts w:ascii="Times New Roman" w:hAnsi="Times New Roman" w:cs="Times New Roman"/>
          <w:sz w:val="24"/>
          <w:szCs w:val="24"/>
        </w:rPr>
        <w:t xml:space="preserve"> </w:t>
      </w:r>
      <w:r w:rsidR="00B24458" w:rsidRPr="006666F7">
        <w:rPr>
          <w:rFonts w:ascii="Times New Roman" w:hAnsi="Times New Roman" w:cs="Times New Roman"/>
          <w:sz w:val="24"/>
          <w:szCs w:val="24"/>
        </w:rPr>
        <w:t>and not just flexibility</w:t>
      </w:r>
      <w:r>
        <w:rPr>
          <w:rFonts w:ascii="Times New Roman" w:hAnsi="Times New Roman" w:cs="Times New Roman"/>
          <w:sz w:val="24"/>
          <w:szCs w:val="24"/>
        </w:rPr>
        <w:t xml:space="preserve"> of </w:t>
      </w:r>
      <w:r w:rsidR="00B24458" w:rsidRPr="006666F7">
        <w:rPr>
          <w:rFonts w:ascii="Times New Roman" w:hAnsi="Times New Roman" w:cs="Times New Roman"/>
          <w:sz w:val="24"/>
          <w:szCs w:val="24"/>
        </w:rPr>
        <w:t>a particular component.</w:t>
      </w:r>
      <w:hyperlink w:anchor="_ENREF_1" w:tooltip="Upton, 1994 #26" w:history="1">
        <w:r w:rsidR="00076046" w:rsidRPr="006666F7">
          <w:rPr>
            <w:rFonts w:ascii="Times New Roman" w:hAnsi="Times New Roman" w:cs="Times New Roman"/>
            <w:sz w:val="24"/>
            <w:szCs w:val="24"/>
          </w:rPr>
          <w:fldChar w:fldCharType="begin"/>
        </w:r>
        <w:r w:rsidR="00076046" w:rsidRPr="006666F7">
          <w:rPr>
            <w:rFonts w:ascii="Times New Roman" w:hAnsi="Times New Roman" w:cs="Times New Roman"/>
            <w:sz w:val="24"/>
            <w:szCs w:val="24"/>
          </w:rPr>
          <w:instrText xml:space="preserve"> ADDIN EN.CITE &lt;EndNote&gt;&lt;Cite&gt;&lt;Author&gt;Upton&lt;/Author&gt;&lt;Year&gt;1994&lt;/Year&gt;&lt;RecNum&gt;26&lt;/RecNum&gt;&lt;DisplayText&gt;&lt;style face="superscript"&gt;1&lt;/style&gt;&lt;/DisplayText&gt;&lt;record&gt;&lt;rec-number&gt;26&lt;/rec-number&gt;&lt;foreign-keys&gt;&lt;key app="EN" db-id="z2x0dswaxx2sfke0z96vzv0eap2zfwt0r05a" timestamp="1398916392"&gt;26&lt;/key&gt;&lt;/foreign-keys&gt;&lt;ref-type name="Journal Article"&gt;17&lt;/ref-type&gt;&lt;contributors&gt;&lt;authors&gt;&lt;author&gt;Upton, David M.&lt;/author&gt;&lt;/authors&gt;&lt;/contributors&gt;&lt;titles&gt;&lt;title&gt;The Management of Manufacturing Flexibility&lt;/title&gt;&lt;secondary-title&gt;California Management Review&lt;/secondary-title&gt;&lt;/titles&gt;&lt;periodical&gt;&lt;full-title&gt;California Management Review&lt;/full-title&gt;&lt;/periodical&gt;&lt;pages&gt;72-89&lt;/pages&gt;&lt;volume&gt;36&lt;/volume&gt;&lt;number&gt;2&lt;/number&gt;&lt;keywords&gt;&lt;keyword&gt;INDUSTRIAL management&lt;/keyword&gt;&lt;keyword&gt;BUSINESS&lt;/keyword&gt;&lt;keyword&gt;MANAGEMENT&lt;/keyword&gt;&lt;keyword&gt;PRODUCTION (Economic theory)&lt;/keyword&gt;&lt;keyword&gt;BUSINESS enterprises&lt;/keyword&gt;&lt;keyword&gt;MANUFACTURES&lt;/keyword&gt;&lt;keyword&gt;STRATEGIC planning&lt;/keyword&gt;&lt;keyword&gt;PRODUCTION management (Manufacturing)&lt;/keyword&gt;&lt;keyword&gt;COMPETITIVE advantage&lt;/keyword&gt;&lt;keyword&gt;TOTAL quality management&lt;/keyword&gt;&lt;keyword&gt;COMPETITION&lt;/keyword&gt;&lt;keyword&gt;INTERNAL migration&lt;/keyword&gt;&lt;keyword&gt;US Robotics Inc.&lt;/keyword&gt;&lt;/keywords&gt;&lt;dates&gt;&lt;year&gt;1994&lt;/year&gt;&lt;pub-dates&gt;&lt;date&gt;Winter94&lt;/date&gt;&lt;/pub-dates&gt;&lt;/dates&gt;&lt;publisher&gt;California Management Review&lt;/publisher&gt;&lt;isbn&gt;00081256&lt;/isbn&gt;&lt;accession-num&gt;9410213931&lt;/accession-num&gt;&lt;work-type&gt;Article&lt;/work-type&gt;&lt;urls&gt;&lt;related-urls&gt;&lt;url&gt;https://login.proxy.libraries.rutgers.edu/login?url=http://search.ebscohost.com/login.aspx?direct=true&amp;amp;db=buh&amp;amp;AN=9410213931&amp;amp;site=eds-live&lt;/url&gt;&lt;/related-urls&gt;&lt;/urls&gt;&lt;remote-database-name&gt;buh&lt;/remote-database-name&gt;&lt;remote-database-provider&gt;EBSCOhost&lt;/remote-database-provider&gt;&lt;/record&gt;&lt;/Cite&gt;&lt;/EndNote&gt;</w:instrText>
        </w:r>
        <w:r w:rsidR="00076046" w:rsidRPr="006666F7">
          <w:rPr>
            <w:rFonts w:ascii="Times New Roman" w:hAnsi="Times New Roman" w:cs="Times New Roman"/>
            <w:sz w:val="24"/>
            <w:szCs w:val="24"/>
          </w:rPr>
          <w:fldChar w:fldCharType="separate"/>
        </w:r>
        <w:r w:rsidR="00076046" w:rsidRPr="006666F7">
          <w:rPr>
            <w:rFonts w:ascii="Times New Roman" w:hAnsi="Times New Roman" w:cs="Times New Roman"/>
            <w:noProof/>
            <w:sz w:val="24"/>
            <w:szCs w:val="24"/>
            <w:vertAlign w:val="superscript"/>
          </w:rPr>
          <w:t>1</w:t>
        </w:r>
        <w:r w:rsidR="00076046" w:rsidRPr="006666F7">
          <w:rPr>
            <w:rFonts w:ascii="Times New Roman" w:hAnsi="Times New Roman" w:cs="Times New Roman"/>
            <w:sz w:val="24"/>
            <w:szCs w:val="24"/>
          </w:rPr>
          <w:fldChar w:fldCharType="end"/>
        </w:r>
      </w:hyperlink>
      <w:r w:rsidR="00220E8E" w:rsidRPr="006666F7">
        <w:rPr>
          <w:rFonts w:ascii="Times New Roman" w:hAnsi="Times New Roman" w:cs="Times New Roman"/>
          <w:sz w:val="24"/>
          <w:szCs w:val="24"/>
        </w:rPr>
        <w:t xml:space="preserve"> </w:t>
      </w:r>
      <w:r w:rsidR="00B066B7" w:rsidRPr="006666F7">
        <w:rPr>
          <w:rFonts w:ascii="Times New Roman" w:hAnsi="Times New Roman" w:cs="Times New Roman"/>
          <w:sz w:val="24"/>
          <w:szCs w:val="24"/>
        </w:rPr>
        <w:t xml:space="preserve">Achieving flexibility incurs costs and therefore, there is a need for assessment of flexibility levels and risk management during the planning of supply chains </w:t>
      </w:r>
      <w:r w:rsidR="008A5F15" w:rsidRPr="006666F7">
        <w:rPr>
          <w:rFonts w:ascii="Times New Roman" w:hAnsi="Times New Roman" w:cs="Times New Roman"/>
          <w:sz w:val="24"/>
          <w:szCs w:val="24"/>
        </w:rPr>
        <w:t xml:space="preserve">under </w:t>
      </w:r>
      <w:r>
        <w:rPr>
          <w:rFonts w:ascii="Times New Roman" w:hAnsi="Times New Roman" w:cs="Times New Roman"/>
          <w:sz w:val="24"/>
          <w:szCs w:val="24"/>
        </w:rPr>
        <w:t>uncertainty.</w:t>
      </w:r>
      <w:r w:rsidR="008A5F15" w:rsidRPr="006666F7">
        <w:rPr>
          <w:rFonts w:ascii="Times New Roman" w:hAnsi="Times New Roman" w:cs="Times New Roman"/>
          <w:sz w:val="24"/>
          <w:szCs w:val="24"/>
        </w:rPr>
        <w:t xml:space="preserve"> </w:t>
      </w:r>
    </w:p>
    <w:p w:rsidR="00DB22CD" w:rsidRPr="006666F7" w:rsidRDefault="00D07763" w:rsidP="00C93065">
      <w:pPr>
        <w:spacing w:line="360" w:lineRule="auto"/>
        <w:jc w:val="both"/>
        <w:rPr>
          <w:rFonts w:ascii="Times New Roman" w:hAnsi="Times New Roman" w:cs="Times New Roman"/>
          <w:sz w:val="24"/>
          <w:szCs w:val="24"/>
        </w:rPr>
      </w:pPr>
      <w:r w:rsidRPr="006666F7">
        <w:rPr>
          <w:rFonts w:ascii="Times New Roman" w:hAnsi="Times New Roman" w:cs="Times New Roman"/>
          <w:sz w:val="24"/>
          <w:szCs w:val="24"/>
        </w:rPr>
        <w:t>Researchers have studied various dimensions of flexibility in the context of supply chains and have also proposed different strategies for achieving them.</w:t>
      </w:r>
      <w:r w:rsidR="00220E8E" w:rsidRPr="006666F7">
        <w:rPr>
          <w:rFonts w:ascii="Times New Roman" w:hAnsi="Times New Roman" w:cs="Times New Roman"/>
          <w:sz w:val="24"/>
          <w:szCs w:val="24"/>
        </w:rPr>
        <w:t xml:space="preserve"> </w:t>
      </w:r>
      <w:r w:rsidR="005B0B8D" w:rsidRPr="006666F7">
        <w:rPr>
          <w:rFonts w:ascii="Times New Roman" w:hAnsi="Times New Roman" w:cs="Times New Roman"/>
          <w:sz w:val="24"/>
          <w:szCs w:val="24"/>
        </w:rPr>
        <w:t>Vickery et al.</w:t>
      </w:r>
      <w:hyperlink w:anchor="_ENREF_2" w:tooltip="Vickery, 1999 #28" w:history="1">
        <w:r w:rsidR="00076046" w:rsidRPr="006666F7">
          <w:rPr>
            <w:rFonts w:ascii="Times New Roman" w:hAnsi="Times New Roman" w:cs="Times New Roman"/>
            <w:sz w:val="24"/>
            <w:szCs w:val="24"/>
          </w:rPr>
          <w:fldChar w:fldCharType="begin"/>
        </w:r>
        <w:r w:rsidR="00076046" w:rsidRPr="006666F7">
          <w:rPr>
            <w:rFonts w:ascii="Times New Roman" w:hAnsi="Times New Roman" w:cs="Times New Roman"/>
            <w:sz w:val="24"/>
            <w:szCs w:val="24"/>
          </w:rPr>
          <w:instrText xml:space="preserve"> ADDIN EN.CITE &lt;EndNote&gt;&lt;Cite&gt;&lt;Author&gt;Vickery&lt;/Author&gt;&lt;Year&gt;1999&lt;/Year&gt;&lt;RecNum&gt;28&lt;/RecNum&gt;&lt;DisplayText&gt;&lt;style face="superscript"&gt;2&lt;/style&gt;&lt;/DisplayText&gt;&lt;record&gt;&lt;rec-number&gt;28&lt;/rec-number&gt;&lt;foreign-keys&gt;&lt;key app="EN" db-id="z2x0dswaxx2sfke0z96vzv0eap2zfwt0r05a" timestamp="1398918361"&gt;28&lt;/key&gt;&lt;/foreign-keys&gt;&lt;ref-type name="Journal Article"&gt;17&lt;/ref-type&gt;&lt;contributors&gt;&lt;authors&gt;&lt;author&gt;Vickery, Shaw nee&lt;/author&gt;&lt;author&gt;Calantone, Roger&lt;/author&gt;&lt;author&gt;Dröge, Cornelia&lt;/author&gt;&lt;/authors&gt;&lt;/contributors&gt;&lt;titles&gt;&lt;title&gt;Supply Chain Flexibility: An Empirical Study&lt;/title&gt;&lt;secondary-title&gt;Journal of Supply Chain Management&lt;/secondary-title&gt;&lt;/titles&gt;&lt;periodical&gt;&lt;full-title&gt;Journal of Supply Chain Management&lt;/full-title&gt;&lt;/periodical&gt;&lt;pages&gt;16-24&lt;/pages&gt;&lt;volume&gt;35&lt;/volume&gt;&lt;number&gt;2&lt;/number&gt;&lt;dates&gt;&lt;year&gt;1999&lt;/year&gt;&lt;/dates&gt;&lt;publisher&gt;Blackwell Publishing Ltd&lt;/publisher&gt;&lt;isbn&gt;1745-493X&lt;/isbn&gt;&lt;urls&gt;&lt;related-urls&gt;&lt;url&gt;http://dx.doi.org/10.1111/j.1745-493X.1999.tb00058.x&lt;/url&gt;&lt;/related-urls&gt;&lt;/urls&gt;&lt;electronic-resource-num&gt;10.1111/j.1745-493X.1999.tb00058.x&lt;/electronic-resource-num&gt;&lt;/record&gt;&lt;/Cite&gt;&lt;/EndNote&gt;</w:instrText>
        </w:r>
        <w:r w:rsidR="00076046" w:rsidRPr="006666F7">
          <w:rPr>
            <w:rFonts w:ascii="Times New Roman" w:hAnsi="Times New Roman" w:cs="Times New Roman"/>
            <w:sz w:val="24"/>
            <w:szCs w:val="24"/>
          </w:rPr>
          <w:fldChar w:fldCharType="separate"/>
        </w:r>
        <w:r w:rsidR="00076046" w:rsidRPr="006666F7">
          <w:rPr>
            <w:rFonts w:ascii="Times New Roman" w:hAnsi="Times New Roman" w:cs="Times New Roman"/>
            <w:noProof/>
            <w:sz w:val="24"/>
            <w:szCs w:val="24"/>
            <w:vertAlign w:val="superscript"/>
          </w:rPr>
          <w:t>2</w:t>
        </w:r>
        <w:r w:rsidR="00076046" w:rsidRPr="006666F7">
          <w:rPr>
            <w:rFonts w:ascii="Times New Roman" w:hAnsi="Times New Roman" w:cs="Times New Roman"/>
            <w:sz w:val="24"/>
            <w:szCs w:val="24"/>
          </w:rPr>
          <w:fldChar w:fldCharType="end"/>
        </w:r>
      </w:hyperlink>
      <w:r w:rsidR="005B0B8D" w:rsidRPr="006666F7">
        <w:rPr>
          <w:rFonts w:ascii="Times New Roman" w:hAnsi="Times New Roman" w:cs="Times New Roman"/>
          <w:sz w:val="24"/>
          <w:szCs w:val="24"/>
        </w:rPr>
        <w:t xml:space="preserve"> </w:t>
      </w:r>
      <w:proofErr w:type="gramStart"/>
      <w:r w:rsidR="005B0B8D" w:rsidRPr="006666F7">
        <w:rPr>
          <w:rFonts w:ascii="Times New Roman" w:hAnsi="Times New Roman" w:cs="Times New Roman"/>
          <w:sz w:val="24"/>
          <w:szCs w:val="24"/>
        </w:rPr>
        <w:t>stud</w:t>
      </w:r>
      <w:r w:rsidR="002E5DC8" w:rsidRPr="006666F7">
        <w:rPr>
          <w:rFonts w:ascii="Times New Roman" w:hAnsi="Times New Roman" w:cs="Times New Roman"/>
          <w:sz w:val="24"/>
          <w:szCs w:val="24"/>
        </w:rPr>
        <w:t>y</w:t>
      </w:r>
      <w:proofErr w:type="gramEnd"/>
      <w:r w:rsidR="005B0B8D" w:rsidRPr="006666F7">
        <w:rPr>
          <w:rFonts w:ascii="Times New Roman" w:hAnsi="Times New Roman" w:cs="Times New Roman"/>
          <w:sz w:val="24"/>
          <w:szCs w:val="24"/>
        </w:rPr>
        <w:t xml:space="preserve"> five key supply chain flexibilities: product flexibility, volume flexibility, launch flexibility, distribution flexibility and responsiveness to target markets.  </w:t>
      </w:r>
      <w:proofErr w:type="spellStart"/>
      <w:r w:rsidR="008A5F15" w:rsidRPr="006666F7">
        <w:rPr>
          <w:rFonts w:ascii="Times New Roman" w:hAnsi="Times New Roman" w:cs="Times New Roman"/>
          <w:sz w:val="24"/>
          <w:szCs w:val="24"/>
        </w:rPr>
        <w:t>Pujawan</w:t>
      </w:r>
      <w:proofErr w:type="spellEnd"/>
      <w:r w:rsidR="00076046">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HYPERLINK \l "_ENREF_3" \o "Pujawan, 2004 #29" </w:instrText>
      </w:r>
      <w:r w:rsidR="00076046">
        <w:rPr>
          <w:rFonts w:ascii="Times New Roman" w:hAnsi="Times New Roman" w:cs="Times New Roman"/>
          <w:sz w:val="24"/>
          <w:szCs w:val="24"/>
        </w:rPr>
        <w:fldChar w:fldCharType="separate"/>
      </w:r>
      <w:r w:rsidR="00076046" w:rsidRPr="006666F7">
        <w:rPr>
          <w:rFonts w:ascii="Times New Roman" w:hAnsi="Times New Roman" w:cs="Times New Roman"/>
          <w:sz w:val="24"/>
          <w:szCs w:val="24"/>
        </w:rPr>
        <w:fldChar w:fldCharType="begin"/>
      </w:r>
      <w:r w:rsidR="00076046" w:rsidRPr="006666F7">
        <w:rPr>
          <w:rFonts w:ascii="Times New Roman" w:hAnsi="Times New Roman" w:cs="Times New Roman"/>
          <w:sz w:val="24"/>
          <w:szCs w:val="24"/>
        </w:rPr>
        <w:instrText xml:space="preserve"> ADDIN EN.CITE &lt;EndNote&gt;&lt;Cite&gt;&lt;Author&gt;Pujawan&lt;/Author&gt;&lt;Year&gt;2004&lt;/Year&gt;&lt;RecNum&gt;29&lt;/RecNum&gt;&lt;DisplayText&gt;&lt;style face="superscript"&gt;3&lt;/style&gt;&lt;/DisplayText&gt;&lt;record&gt;&lt;rec-number&gt;29&lt;/rec-number&gt;&lt;foreign-keys&gt;&lt;key app="EN" db-id="z2x0dswaxx2sfke0z96vzv0eap2zfwt0r05a" timestamp="1398919600"&gt;29&lt;/key&gt;&lt;/foreign-keys&gt;&lt;ref-type name="Journal Article"&gt;17&lt;/ref-type&gt;&lt;contributors&gt;&lt;authors&gt;&lt;author&gt;Pujawan, I Nyoman&lt;/author&gt;&lt;/authors&gt;&lt;/contributors&gt;&lt;titles&gt;&lt;title&gt;Assessing supply chain flexibility: a conceptual framework and case study&lt;/title&gt;&lt;secondary-title&gt;International Journal of Integrated Supply Management&lt;/secondary-title&gt;&lt;/titles&gt;&lt;periodical&gt;&lt;full-title&gt;International Journal of Integrated Supply Management&lt;/full-title&gt;&lt;/periodical&gt;&lt;pages&gt;79-97&lt;/pages&gt;&lt;volume&gt;1&lt;/volume&gt;&lt;number&gt;1&lt;/number&gt;&lt;dates&gt;&lt;year&gt;2004&lt;/year&gt;&lt;/dates&gt;&lt;isbn&gt;1477-5360&lt;/isbn&gt;&lt;urls&gt;&lt;/urls&gt;&lt;/record&gt;&lt;/Cite&gt;&lt;/EndNote&gt;</w:instrText>
      </w:r>
      <w:r w:rsidR="00076046" w:rsidRPr="006666F7">
        <w:rPr>
          <w:rFonts w:ascii="Times New Roman" w:hAnsi="Times New Roman" w:cs="Times New Roman"/>
          <w:sz w:val="24"/>
          <w:szCs w:val="24"/>
        </w:rPr>
        <w:fldChar w:fldCharType="separate"/>
      </w:r>
      <w:r w:rsidR="00076046" w:rsidRPr="006666F7">
        <w:rPr>
          <w:rFonts w:ascii="Times New Roman" w:hAnsi="Times New Roman" w:cs="Times New Roman"/>
          <w:noProof/>
          <w:sz w:val="24"/>
          <w:szCs w:val="24"/>
          <w:vertAlign w:val="superscript"/>
        </w:rPr>
        <w:t>3</w:t>
      </w:r>
      <w:r w:rsidR="00076046" w:rsidRPr="006666F7">
        <w:rPr>
          <w:rFonts w:ascii="Times New Roman" w:hAnsi="Times New Roman" w:cs="Times New Roman"/>
          <w:sz w:val="24"/>
          <w:szCs w:val="24"/>
        </w:rPr>
        <w:fldChar w:fldCharType="end"/>
      </w:r>
      <w:r w:rsidR="00076046">
        <w:rPr>
          <w:rFonts w:ascii="Times New Roman" w:hAnsi="Times New Roman" w:cs="Times New Roman"/>
          <w:sz w:val="24"/>
          <w:szCs w:val="24"/>
        </w:rPr>
        <w:fldChar w:fldCharType="end"/>
      </w:r>
      <w:r w:rsidR="008A5F15" w:rsidRPr="006666F7">
        <w:rPr>
          <w:rFonts w:ascii="Times New Roman" w:hAnsi="Times New Roman" w:cs="Times New Roman"/>
          <w:sz w:val="24"/>
          <w:szCs w:val="24"/>
        </w:rPr>
        <w:t xml:space="preserve"> presents a framework for assessing flexibility of a supply chain. He identifies the different dimensions of flexibility and assesses their drivers. He presents a framework to assess the flexibility of a supply chain.</w:t>
      </w:r>
      <w:r w:rsidR="00152DEA" w:rsidRPr="006666F7">
        <w:rPr>
          <w:rFonts w:ascii="Times New Roman" w:hAnsi="Times New Roman" w:cs="Times New Roman"/>
          <w:sz w:val="24"/>
          <w:szCs w:val="24"/>
        </w:rPr>
        <w:t xml:space="preserve"> Winkler</w:t>
      </w:r>
      <w:hyperlink w:anchor="_ENREF_4" w:tooltip="Winkler, 2009 #38" w:history="1">
        <w:r w:rsidR="00076046">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ADDIN EN.CITE &lt;EndNote&gt;&lt;Cite&gt;&lt;Author&gt;Winkler&lt;/Author&gt;&lt;Year&gt;2009&lt;/Year&gt;&lt;RecNum&gt;38&lt;/RecNum&gt;&lt;DisplayText&gt;&lt;style face="superscript"&gt;4&lt;/style&gt;&lt;/DisplayText&gt;&lt;record&gt;&lt;rec-number&gt;38&lt;/rec-number&gt;&lt;foreign-keys&gt;&lt;key app="EN" db-id="z2x0dswaxx2sfke0z96vzv0eap2zfwt0r05a" timestamp="1399128155"&gt;38&lt;/key&gt;&lt;/foreign-keys&gt;&lt;ref-type name="Journal Article"&gt;17&lt;/ref-type&gt;&lt;contributors&gt;&lt;authors&gt;&lt;author&gt;Winkler, Herwig&lt;/author&gt;&lt;/authors&gt;&lt;/contributors&gt;&lt;titles&gt;&lt;title&gt;How to improve supply chain flexibility using strategic supply chain networks&lt;/title&gt;&lt;secondary-title&gt;Logistics Research&lt;/secondary-title&gt;&lt;alt-title&gt;Logist. Res.&lt;/alt-title&gt;&lt;/titles&gt;&lt;periodical&gt;&lt;full-title&gt;Logistics Research&lt;/full-title&gt;&lt;abbr-1&gt;Logist. Res.&lt;/abbr-1&gt;&lt;/periodical&gt;&lt;alt-periodical&gt;&lt;full-title&gt;Logistics Research&lt;/full-title&gt;&lt;abbr-1&gt;Logist. Res.&lt;/abbr-1&gt;&lt;/alt-periodical&gt;&lt;pages&gt;15-25&lt;/pages&gt;&lt;volume&gt;1&lt;/volume&gt;&lt;number&gt;1&lt;/number&gt;&lt;keywords&gt;&lt;keyword&gt;Supply chain management&lt;/keyword&gt;&lt;keyword&gt;Supply chain flexibility&lt;/keyword&gt;&lt;keyword&gt;Strategic supply chain networks&lt;/keyword&gt;&lt;keyword&gt;Flexibility potentials&lt;/keyword&gt;&lt;/keywords&gt;&lt;dates&gt;&lt;year&gt;2009&lt;/year&gt;&lt;pub-dates&gt;&lt;date&gt;2009/03/01&lt;/date&gt;&lt;/pub-dates&gt;&lt;/dates&gt;&lt;publisher&gt;Springer-Verlag&lt;/publisher&gt;&lt;isbn&gt;1865-035X&lt;/isbn&gt;&lt;urls&gt;&lt;related-urls&gt;&lt;url&gt;http://dx.doi.org/10.1007/s12159-008-0001-6&lt;/url&gt;&lt;/related-urls&gt;&lt;/urls&gt;&lt;electronic-resource-num&gt;10.1007/s12159-008-0001-6&lt;/electronic-resource-num&gt;&lt;language&gt;English&lt;/language&gt;&lt;/record&gt;&lt;/Cite&gt;&lt;/EndNote&gt;</w:instrText>
        </w:r>
        <w:r w:rsidR="00076046">
          <w:rPr>
            <w:rFonts w:ascii="Times New Roman" w:hAnsi="Times New Roman" w:cs="Times New Roman"/>
            <w:sz w:val="24"/>
            <w:szCs w:val="24"/>
          </w:rPr>
          <w:fldChar w:fldCharType="separate"/>
        </w:r>
        <w:r w:rsidR="00076046" w:rsidRPr="00076046">
          <w:rPr>
            <w:rFonts w:ascii="Times New Roman" w:hAnsi="Times New Roman" w:cs="Times New Roman"/>
            <w:noProof/>
            <w:sz w:val="24"/>
            <w:szCs w:val="24"/>
            <w:vertAlign w:val="superscript"/>
          </w:rPr>
          <w:t>4</w:t>
        </w:r>
        <w:r w:rsidR="00076046">
          <w:rPr>
            <w:rFonts w:ascii="Times New Roman" w:hAnsi="Times New Roman" w:cs="Times New Roman"/>
            <w:sz w:val="24"/>
            <w:szCs w:val="24"/>
          </w:rPr>
          <w:fldChar w:fldCharType="end"/>
        </w:r>
      </w:hyperlink>
      <w:r w:rsidR="00152DEA" w:rsidRPr="006666F7">
        <w:rPr>
          <w:rFonts w:ascii="Times New Roman" w:hAnsi="Times New Roman" w:cs="Times New Roman"/>
          <w:sz w:val="24"/>
          <w:szCs w:val="24"/>
        </w:rPr>
        <w:t xml:space="preserve"> discusses the design and use of strategic supply chain networks to improve flexibility. He shows how structural, technological and human potentials of the strategic supply chain network can be managed to gain flexibility.</w:t>
      </w:r>
      <w:r w:rsidR="007421C0" w:rsidRPr="006666F7">
        <w:rPr>
          <w:rFonts w:ascii="Times New Roman" w:hAnsi="Times New Roman" w:cs="Times New Roman"/>
          <w:sz w:val="24"/>
          <w:szCs w:val="24"/>
        </w:rPr>
        <w:t xml:space="preserve"> </w:t>
      </w:r>
      <w:proofErr w:type="spellStart"/>
      <w:r w:rsidR="007421C0" w:rsidRPr="006666F7">
        <w:rPr>
          <w:rFonts w:ascii="Times New Roman" w:hAnsi="Times New Roman" w:cs="Times New Roman"/>
          <w:sz w:val="24"/>
          <w:szCs w:val="24"/>
        </w:rPr>
        <w:t>Garavelli</w:t>
      </w:r>
      <w:proofErr w:type="spellEnd"/>
      <w:r w:rsidR="00076046">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HYPERLINK \l "_ENREF_5" \o "Garavelli, 2003 #30" </w:instrText>
      </w:r>
      <w:r w:rsidR="00076046">
        <w:rPr>
          <w:rFonts w:ascii="Times New Roman" w:hAnsi="Times New Roman" w:cs="Times New Roman"/>
          <w:sz w:val="24"/>
          <w:szCs w:val="24"/>
        </w:rPr>
        <w:fldChar w:fldCharType="separate"/>
      </w:r>
      <w:r w:rsidR="00076046" w:rsidRPr="006666F7">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ADDIN EN.CITE &lt;EndNote&gt;&lt;Cite&gt;&lt;Author&gt;Garavelli&lt;/Author&gt;&lt;Year&gt;2003&lt;/Year&gt;&lt;RecNum&gt;30&lt;/RecNum&gt;&lt;DisplayText&gt;&lt;style face="superscript"&gt;5&lt;/style&gt;&lt;/DisplayText&gt;&lt;record&gt;&lt;rec-number&gt;30&lt;/rec-number&gt;&lt;foreign-keys&gt;&lt;key app="EN" db-id="z2x0dswaxx2sfke0z96vzv0eap2zfwt0r05a" timestamp="1398920432"&gt;30&lt;/key&gt;&lt;/foreign-keys&gt;&lt;ref-type name="Journal Article"&gt;17&lt;/ref-type&gt;&lt;contributors&gt;&lt;authors&gt;&lt;author&gt;Garavelli, A. Claudio&lt;/author&gt;&lt;/authors&gt;&lt;/contributors&gt;&lt;titles&gt;&lt;title&gt;Flexibility configurations for the supply chain management&lt;/title&gt;&lt;secondary-title&gt;International Journal of Production Economics&lt;/secondary-title&gt;&lt;/titles&gt;&lt;periodical&gt;&lt;full-title&gt;International Journal of Production Economics&lt;/full-title&gt;&lt;abbr-1&gt;Int J Prod Econ&lt;/abbr-1&gt;&lt;/periodical&gt;&lt;pages&gt;141-153&lt;/pages&gt;&lt;volume&gt;85&lt;/volume&gt;&lt;number&gt;2&lt;/number&gt;&lt;keywords&gt;&lt;keyword&gt;Supply chain&lt;/keyword&gt;&lt;keyword&gt;Operations network&lt;/keyword&gt;&lt;keyword&gt;Limited flexibility&lt;/keyword&gt;&lt;keyword&gt;Simulation&lt;/keyword&gt;&lt;keyword&gt;Performance&lt;/keyword&gt;&lt;/keywords&gt;&lt;dates&gt;&lt;year&gt;2003&lt;/year&gt;&lt;pub-dates&gt;&lt;date&gt;8/11/&lt;/date&gt;&lt;/pub-dates&gt;&lt;/dates&gt;&lt;isbn&gt;0925-5273&lt;/isbn&gt;&lt;urls&gt;&lt;related-urls&gt;&lt;url&gt;http://www.sciencedirect.com/science/article/pii/S0925527303001063&lt;/url&gt;&lt;/related-urls&gt;&lt;/urls&gt;&lt;electronic-resource-num&gt;http://dx.doi.org/10.1016/S0925-5273(03)00106-3&lt;/electronic-resource-num&gt;&lt;/record&gt;&lt;/Cite&gt;&lt;/EndNote&gt;</w:instrText>
      </w:r>
      <w:r w:rsidR="00076046" w:rsidRPr="006666F7">
        <w:rPr>
          <w:rFonts w:ascii="Times New Roman" w:hAnsi="Times New Roman" w:cs="Times New Roman"/>
          <w:sz w:val="24"/>
          <w:szCs w:val="24"/>
        </w:rPr>
        <w:fldChar w:fldCharType="separate"/>
      </w:r>
      <w:r w:rsidR="00076046" w:rsidRPr="00076046">
        <w:rPr>
          <w:rFonts w:ascii="Times New Roman" w:hAnsi="Times New Roman" w:cs="Times New Roman"/>
          <w:noProof/>
          <w:sz w:val="24"/>
          <w:szCs w:val="24"/>
          <w:vertAlign w:val="superscript"/>
        </w:rPr>
        <w:t>5</w:t>
      </w:r>
      <w:r w:rsidR="00076046" w:rsidRPr="006666F7">
        <w:rPr>
          <w:rFonts w:ascii="Times New Roman" w:hAnsi="Times New Roman" w:cs="Times New Roman"/>
          <w:sz w:val="24"/>
          <w:szCs w:val="24"/>
        </w:rPr>
        <w:fldChar w:fldCharType="end"/>
      </w:r>
      <w:r w:rsidR="00076046">
        <w:rPr>
          <w:rFonts w:ascii="Times New Roman" w:hAnsi="Times New Roman" w:cs="Times New Roman"/>
          <w:sz w:val="24"/>
          <w:szCs w:val="24"/>
        </w:rPr>
        <w:fldChar w:fldCharType="end"/>
      </w:r>
      <w:r w:rsidR="007421C0" w:rsidRPr="006666F7">
        <w:rPr>
          <w:rFonts w:ascii="Times New Roman" w:hAnsi="Times New Roman" w:cs="Times New Roman"/>
          <w:sz w:val="24"/>
          <w:szCs w:val="24"/>
        </w:rPr>
        <w:t xml:space="preserve"> studies process flexibility and logistical flexibility and proposes that configurations with limited flexibility perform relatively better compared to no or total flexibility when the trade-offs between costs and flexibility are considered. He also found that achieving flexibility in upstream activities leads to better results than downstream activities.</w:t>
      </w:r>
    </w:p>
    <w:p w:rsidR="0049335B" w:rsidRPr="006666F7" w:rsidRDefault="00D4250F" w:rsidP="006B2400">
      <w:pPr>
        <w:spacing w:line="360" w:lineRule="auto"/>
        <w:jc w:val="both"/>
        <w:rPr>
          <w:rFonts w:ascii="Times New Roman" w:hAnsi="Times New Roman" w:cs="Times New Roman"/>
          <w:sz w:val="24"/>
          <w:szCs w:val="24"/>
        </w:rPr>
      </w:pPr>
      <w:r w:rsidRPr="006666F7">
        <w:rPr>
          <w:rFonts w:ascii="Times New Roman" w:hAnsi="Times New Roman" w:cs="Times New Roman"/>
          <w:sz w:val="24"/>
          <w:szCs w:val="24"/>
        </w:rPr>
        <w:t>Under uncertain conditions,</w:t>
      </w:r>
      <w:r w:rsidR="009C4671">
        <w:rPr>
          <w:rFonts w:ascii="Times New Roman" w:hAnsi="Times New Roman" w:cs="Times New Roman"/>
          <w:sz w:val="24"/>
          <w:szCs w:val="24"/>
        </w:rPr>
        <w:t xml:space="preserve"> usually</w:t>
      </w:r>
      <w:r w:rsidRPr="006666F7">
        <w:rPr>
          <w:rFonts w:ascii="Times New Roman" w:hAnsi="Times New Roman" w:cs="Times New Roman"/>
          <w:sz w:val="24"/>
          <w:szCs w:val="24"/>
        </w:rPr>
        <w:t xml:space="preserve"> the expected performance measure is optimized. The obtained solution performs well for all the scenarios on an average. However variability in performance due to uncertainty in conditions is an important aspect that needs to be assessed. </w:t>
      </w:r>
      <w:proofErr w:type="spellStart"/>
      <w:r w:rsidRPr="006666F7">
        <w:rPr>
          <w:rFonts w:ascii="Times New Roman" w:hAnsi="Times New Roman" w:cs="Times New Roman"/>
          <w:sz w:val="24"/>
          <w:szCs w:val="24"/>
        </w:rPr>
        <w:lastRenderedPageBreak/>
        <w:t>Eppen</w:t>
      </w:r>
      <w:proofErr w:type="spellEnd"/>
      <w:r w:rsidRPr="006666F7">
        <w:rPr>
          <w:rFonts w:ascii="Times New Roman" w:hAnsi="Times New Roman" w:cs="Times New Roman"/>
          <w:sz w:val="24"/>
          <w:szCs w:val="24"/>
        </w:rPr>
        <w:t xml:space="preserve"> a</w:t>
      </w:r>
      <w:r w:rsidR="006B2400" w:rsidRPr="006666F7">
        <w:rPr>
          <w:rFonts w:ascii="Times New Roman" w:hAnsi="Times New Roman" w:cs="Times New Roman"/>
          <w:sz w:val="24"/>
          <w:szCs w:val="24"/>
        </w:rPr>
        <w:t>nd Martin</w:t>
      </w:r>
      <w:hyperlink w:anchor="_ENREF_6" w:tooltip="Eppen, 1989 #31" w:history="1">
        <w:r w:rsidR="00076046" w:rsidRPr="006666F7">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ADDIN EN.CITE &lt;EndNote&gt;&lt;Cite&gt;&lt;Author&gt;Eppen&lt;/Author&gt;&lt;Year&gt;1989&lt;/Year&gt;&lt;RecNum&gt;31&lt;/RecNum&gt;&lt;DisplayText&gt;&lt;style face="superscript"&gt;6&lt;/style&gt;&lt;/DisplayText&gt;&lt;record&gt;&lt;rec-number&gt;31&lt;/rec-number&gt;&lt;foreign-keys&gt;&lt;key app="EN" db-id="z2x0dswaxx2sfke0z96vzv0eap2zfwt0r05a" timestamp="1398921444"&gt;31&lt;/key&gt;&lt;/foreign-keys&gt;&lt;ref-type name="Journal Article"&gt;17&lt;/ref-type&gt;&lt;contributors&gt;&lt;authors&gt;&lt;author&gt;Eppen, Gary D.&lt;/author&gt;&lt;author&gt;Martin, R. Kipp&lt;/author&gt;&lt;author&gt;Schrage, Linus&lt;/author&gt;&lt;/authors&gt;&lt;/contributors&gt;&lt;titles&gt;&lt;title&gt;A Scenario Approach to Capacity Planning&lt;/title&gt;&lt;secondary-title&gt;Operations Research&lt;/secondary-title&gt;&lt;/titles&gt;&lt;periodical&gt;&lt;full-title&gt;Operations Research&lt;/full-title&gt;&lt;/periodical&gt;&lt;pages&gt;517-527&lt;/pages&gt;&lt;volume&gt;37&lt;/volume&gt;&lt;number&gt;4&lt;/number&gt;&lt;dates&gt;&lt;year&gt;1989&lt;/year&gt;&lt;/dates&gt;&lt;publisher&gt;INFORMS&lt;/publisher&gt;&lt;isbn&gt;0030364X&lt;/isbn&gt;&lt;urls&gt;&lt;related-urls&gt;&lt;url&gt;http://www.jstor.org/stable/171252&lt;/url&gt;&lt;/related-urls&gt;&lt;/urls&gt;&lt;electronic-resource-num&gt;10.2307/171252&lt;/electronic-resource-num&gt;&lt;/record&gt;&lt;/Cite&gt;&lt;/EndNote&gt;</w:instrText>
        </w:r>
        <w:r w:rsidR="00076046" w:rsidRPr="006666F7">
          <w:rPr>
            <w:rFonts w:ascii="Times New Roman" w:hAnsi="Times New Roman" w:cs="Times New Roman"/>
            <w:sz w:val="24"/>
            <w:szCs w:val="24"/>
          </w:rPr>
          <w:fldChar w:fldCharType="separate"/>
        </w:r>
        <w:r w:rsidR="00076046" w:rsidRPr="00076046">
          <w:rPr>
            <w:rFonts w:ascii="Times New Roman" w:hAnsi="Times New Roman" w:cs="Times New Roman"/>
            <w:noProof/>
            <w:sz w:val="24"/>
            <w:szCs w:val="24"/>
            <w:vertAlign w:val="superscript"/>
          </w:rPr>
          <w:t>6</w:t>
        </w:r>
        <w:r w:rsidR="00076046" w:rsidRPr="006666F7">
          <w:rPr>
            <w:rFonts w:ascii="Times New Roman" w:hAnsi="Times New Roman" w:cs="Times New Roman"/>
            <w:sz w:val="24"/>
            <w:szCs w:val="24"/>
          </w:rPr>
          <w:fldChar w:fldCharType="end"/>
        </w:r>
      </w:hyperlink>
      <w:r w:rsidR="006B2400" w:rsidRPr="006666F7">
        <w:rPr>
          <w:rFonts w:ascii="Times New Roman" w:hAnsi="Times New Roman" w:cs="Times New Roman"/>
          <w:sz w:val="24"/>
          <w:szCs w:val="24"/>
        </w:rPr>
        <w:t xml:space="preserve"> use two stage stochastic programming model for production capacity planning for the auto industry. Demand is considered to be uncertain. They use downside risk as the risk measure. </w:t>
      </w:r>
      <w:proofErr w:type="spellStart"/>
      <w:r w:rsidR="006B2400" w:rsidRPr="006666F7">
        <w:rPr>
          <w:rFonts w:ascii="Times New Roman" w:hAnsi="Times New Roman" w:cs="Times New Roman"/>
          <w:sz w:val="24"/>
          <w:szCs w:val="24"/>
        </w:rPr>
        <w:t>Barbaro</w:t>
      </w:r>
      <w:proofErr w:type="spellEnd"/>
      <w:r w:rsidR="006B2400" w:rsidRPr="006666F7">
        <w:rPr>
          <w:rFonts w:ascii="Times New Roman" w:hAnsi="Times New Roman" w:cs="Times New Roman"/>
          <w:sz w:val="24"/>
          <w:szCs w:val="24"/>
        </w:rPr>
        <w:t xml:space="preserve"> and </w:t>
      </w:r>
      <w:proofErr w:type="spellStart"/>
      <w:r w:rsidR="006B2400" w:rsidRPr="006666F7">
        <w:rPr>
          <w:rFonts w:ascii="Times New Roman" w:hAnsi="Times New Roman" w:cs="Times New Roman"/>
          <w:sz w:val="24"/>
          <w:szCs w:val="24"/>
        </w:rPr>
        <w:t>Bagajewicz</w:t>
      </w:r>
      <w:proofErr w:type="spellEnd"/>
      <w:hyperlink w:anchor="_ENREF_7" w:tooltip="Barbaro, 2004 #32" w:history="1">
        <w:r w:rsidR="00076046" w:rsidRPr="006666F7">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ADDIN EN.CITE &lt;EndNote&gt;&lt;Cite&gt;&lt;Author&gt;Barbaro&lt;/Author&gt;&lt;Year&gt;2004&lt;/Year&gt;&lt;RecNum&gt;32&lt;/RecNum&gt;&lt;DisplayText&gt;&lt;style face="superscript"&gt;7&lt;/style&gt;&lt;/DisplayText&gt;&lt;record&gt;&lt;rec-number&gt;32&lt;/rec-number&gt;&lt;foreign-keys&gt;&lt;key app="EN" db-id="z2x0dswaxx2sfke0z96vzv0eap2zfwt0r05a" timestamp="1398921968"&gt;32&lt;/key&gt;&lt;/foreign-keys&gt;&lt;ref-type name="Journal Article"&gt;17&lt;/ref-type&gt;&lt;contributors&gt;&lt;authors&gt;&lt;author&gt;Barbaro, Andres&lt;/author&gt;&lt;author&gt;Bagajewicz, Miguel J.&lt;/author&gt;&lt;/authors&gt;&lt;/contributors&gt;&lt;titles&gt;&lt;title&gt;Managing financial risk in planning under uncertainty&lt;/title&gt;&lt;secondary-title&gt;AIChE Journal&lt;/secondary-title&gt;&lt;/titles&gt;&lt;periodical&gt;&lt;full-title&gt;AIChE Journal&lt;/full-title&gt;&lt;/periodical&gt;&lt;pages&gt;963-989&lt;/pages&gt;&lt;volume&gt;50&lt;/volume&gt;&lt;number&gt;5&lt;/number&gt;&lt;keywords&gt;&lt;keyword&gt;planning&lt;/keyword&gt;&lt;keyword&gt;financial risk&lt;/keyword&gt;&lt;keyword&gt;robust optimization&lt;/keyword&gt;&lt;/keywords&gt;&lt;dates&gt;&lt;year&gt;2004&lt;/year&gt;&lt;/dates&gt;&lt;publisher&gt;Wiley Subscription Services, Inc., A Wiley Company&lt;/publisher&gt;&lt;isbn&gt;1547-5905&lt;/isbn&gt;&lt;urls&gt;&lt;related-urls&gt;&lt;url&gt;http://dx.doi.org/10.1002/aic.10094&lt;/url&gt;&lt;/related-urls&gt;&lt;/urls&gt;&lt;electronic-resource-num&gt;10.1002/aic.10094&lt;/electronic-resource-num&gt;&lt;/record&gt;&lt;/Cite&gt;&lt;/EndNote&gt;</w:instrText>
        </w:r>
        <w:r w:rsidR="00076046" w:rsidRPr="006666F7">
          <w:rPr>
            <w:rFonts w:ascii="Times New Roman" w:hAnsi="Times New Roman" w:cs="Times New Roman"/>
            <w:sz w:val="24"/>
            <w:szCs w:val="24"/>
          </w:rPr>
          <w:fldChar w:fldCharType="separate"/>
        </w:r>
        <w:r w:rsidR="00076046" w:rsidRPr="00076046">
          <w:rPr>
            <w:rFonts w:ascii="Times New Roman" w:hAnsi="Times New Roman" w:cs="Times New Roman"/>
            <w:noProof/>
            <w:sz w:val="24"/>
            <w:szCs w:val="24"/>
            <w:vertAlign w:val="superscript"/>
          </w:rPr>
          <w:t>7</w:t>
        </w:r>
        <w:r w:rsidR="00076046" w:rsidRPr="006666F7">
          <w:rPr>
            <w:rFonts w:ascii="Times New Roman" w:hAnsi="Times New Roman" w:cs="Times New Roman"/>
            <w:sz w:val="24"/>
            <w:szCs w:val="24"/>
          </w:rPr>
          <w:fldChar w:fldCharType="end"/>
        </w:r>
      </w:hyperlink>
      <w:r w:rsidR="006B2400" w:rsidRPr="006666F7">
        <w:rPr>
          <w:rFonts w:ascii="Times New Roman" w:hAnsi="Times New Roman" w:cs="Times New Roman"/>
          <w:sz w:val="24"/>
          <w:szCs w:val="24"/>
        </w:rPr>
        <w:t xml:space="preserve"> present a methodology to include ﬁnancial risk management in the framework of two-stage stochastic programming for planning under uncertainty. A probabilistic definition of financial risk is adapted to be used in a two-stage stochastic programming model. </w:t>
      </w:r>
      <w:r w:rsidR="002771F0" w:rsidRPr="006666F7">
        <w:rPr>
          <w:rFonts w:ascii="Times New Roman" w:hAnsi="Times New Roman" w:cs="Times New Roman"/>
          <w:sz w:val="24"/>
          <w:szCs w:val="24"/>
        </w:rPr>
        <w:t>You et al.</w:t>
      </w:r>
      <w:hyperlink w:anchor="_ENREF_8" w:tooltip="You, 2009 #35" w:history="1">
        <w:r w:rsidR="00076046">
          <w:rPr>
            <w:rFonts w:ascii="Times New Roman" w:hAnsi="Times New Roman" w:cs="Times New Roman"/>
            <w:sz w:val="24"/>
            <w:szCs w:val="24"/>
          </w:rPr>
          <w:fldChar w:fldCharType="begin"/>
        </w:r>
        <w:r w:rsidR="00076046">
          <w:rPr>
            <w:rFonts w:ascii="Times New Roman" w:hAnsi="Times New Roman" w:cs="Times New Roman"/>
            <w:sz w:val="24"/>
            <w:szCs w:val="24"/>
          </w:rPr>
          <w:instrText xml:space="preserve"> ADDIN EN.CITE &lt;EndNote&gt;&lt;Cite&gt;&lt;Author&gt;You&lt;/Author&gt;&lt;Year&gt;2009&lt;/Year&gt;&lt;RecNum&gt;35&lt;/RecNum&gt;&lt;DisplayText&gt;&lt;style face="superscript"&gt;8&lt;/style&gt;&lt;/DisplayText&gt;&lt;record&gt;&lt;rec-number&gt;35&lt;/rec-number&gt;&lt;foreign-keys&gt;&lt;key app="EN" db-id="z2x0dswaxx2sfke0z96vzv0eap2zfwt0r05a" timestamp="1399064359"&gt;35&lt;/key&gt;&lt;/foreign-keys&gt;&lt;ref-type name="Journal Article"&gt;17&lt;/ref-type&gt;&lt;contributors&gt;&lt;authors&gt;&lt;author&gt;You, Fengqi&lt;/author&gt;&lt;author&gt;Wassick, John M.&lt;/author&gt;&lt;author&gt;Grossmann, Ignacio E.&lt;/author&gt;&lt;/authors&gt;&lt;/contributors&gt;&lt;titles&gt;&lt;title&gt;Risk management for a global supply chain planning under uncertainty: Models and algorithms&lt;/title&gt;&lt;secondary-title&gt;AIChE Journal&lt;/secondary-title&gt;&lt;/titles&gt;&lt;periodical&gt;&lt;full-title&gt;AIChE Journal&lt;/full-title&gt;&lt;/periodical&gt;&lt;pages&gt;931-946&lt;/pages&gt;&lt;volume&gt;55&lt;/volume&gt;&lt;number&gt;4&lt;/number&gt;&lt;keywords&gt;&lt;keyword&gt;supply chain management&lt;/keyword&gt;&lt;keyword&gt;risk management&lt;/keyword&gt;&lt;keyword&gt;stochastic programming&lt;/keyword&gt;&lt;keyword&gt;multicut L-shaped method&lt;/keyword&gt;&lt;keyword&gt;simulation&lt;/keyword&gt;&lt;/keywords&gt;&lt;dates&gt;&lt;year&gt;2009&lt;/year&gt;&lt;/dates&gt;&lt;publisher&gt;Wiley Subscription Services, Inc., A Wiley Company&lt;/publisher&gt;&lt;isbn&gt;1547-5905&lt;/isbn&gt;&lt;urls&gt;&lt;related-urls&gt;&lt;url&gt;http://dx.doi.org/10.1002/aic.11721&lt;/url&gt;&lt;/related-urls&gt;&lt;/urls&gt;&lt;electronic-resource-num&gt;10.1002/aic.11721&lt;/electronic-resource-num&gt;&lt;/record&gt;&lt;/Cite&gt;&lt;/EndNote&gt;</w:instrText>
        </w:r>
        <w:r w:rsidR="00076046">
          <w:rPr>
            <w:rFonts w:ascii="Times New Roman" w:hAnsi="Times New Roman" w:cs="Times New Roman"/>
            <w:sz w:val="24"/>
            <w:szCs w:val="24"/>
          </w:rPr>
          <w:fldChar w:fldCharType="separate"/>
        </w:r>
        <w:r w:rsidR="00076046" w:rsidRPr="00076046">
          <w:rPr>
            <w:rFonts w:ascii="Times New Roman" w:hAnsi="Times New Roman" w:cs="Times New Roman"/>
            <w:noProof/>
            <w:sz w:val="24"/>
            <w:szCs w:val="24"/>
            <w:vertAlign w:val="superscript"/>
          </w:rPr>
          <w:t>8</w:t>
        </w:r>
        <w:r w:rsidR="00076046">
          <w:rPr>
            <w:rFonts w:ascii="Times New Roman" w:hAnsi="Times New Roman" w:cs="Times New Roman"/>
            <w:sz w:val="24"/>
            <w:szCs w:val="24"/>
          </w:rPr>
          <w:fldChar w:fldCharType="end"/>
        </w:r>
      </w:hyperlink>
      <w:r w:rsidR="002771F0" w:rsidRPr="006666F7">
        <w:rPr>
          <w:rFonts w:ascii="Times New Roman" w:hAnsi="Times New Roman" w:cs="Times New Roman"/>
          <w:sz w:val="24"/>
          <w:szCs w:val="24"/>
        </w:rPr>
        <w:t xml:space="preserve"> </w:t>
      </w:r>
      <w:proofErr w:type="gramStart"/>
      <w:r w:rsidR="002771F0" w:rsidRPr="006666F7">
        <w:rPr>
          <w:rFonts w:ascii="Times New Roman" w:hAnsi="Times New Roman" w:cs="Times New Roman"/>
          <w:sz w:val="24"/>
          <w:szCs w:val="24"/>
        </w:rPr>
        <w:t>study</w:t>
      </w:r>
      <w:proofErr w:type="gramEnd"/>
      <w:r w:rsidR="002771F0" w:rsidRPr="006666F7">
        <w:rPr>
          <w:rFonts w:ascii="Times New Roman" w:hAnsi="Times New Roman" w:cs="Times New Roman"/>
          <w:sz w:val="24"/>
          <w:szCs w:val="24"/>
        </w:rPr>
        <w:t xml:space="preserve"> risk management for mid-term planning of global multi-product chemical supply chain. They consider demand and freight rate to be uncertain. They propose a multi-period planning model and use two-stage stochastic programming approach within it. </w:t>
      </w:r>
      <w:bookmarkStart w:id="0" w:name="_GoBack"/>
      <w:bookmarkEnd w:id="0"/>
      <w:r w:rsidR="002771F0" w:rsidRPr="006666F7">
        <w:rPr>
          <w:rFonts w:ascii="Times New Roman" w:hAnsi="Times New Roman" w:cs="Times New Roman"/>
          <w:sz w:val="24"/>
          <w:szCs w:val="24"/>
        </w:rPr>
        <w:t>An algorithm based on multi-cut L-shaped method is proposed to solve the large scale problems.</w:t>
      </w:r>
      <w:r w:rsidR="007A6058" w:rsidRPr="006666F7">
        <w:rPr>
          <w:rFonts w:ascii="Times New Roman" w:hAnsi="Times New Roman" w:cs="Times New Roman"/>
          <w:sz w:val="24"/>
          <w:szCs w:val="24"/>
        </w:rPr>
        <w:t xml:space="preserve"> They compare four different risk measures using the proposed framework. </w:t>
      </w:r>
    </w:p>
    <w:p w:rsidR="00DB1C98" w:rsidRPr="006666F7" w:rsidRDefault="0049335B" w:rsidP="004B21FC">
      <w:pPr>
        <w:spacing w:line="360" w:lineRule="auto"/>
        <w:jc w:val="both"/>
        <w:rPr>
          <w:rFonts w:ascii="Times New Roman" w:hAnsi="Times New Roman" w:cs="Times New Roman"/>
          <w:sz w:val="24"/>
          <w:szCs w:val="24"/>
        </w:rPr>
      </w:pPr>
      <w:r w:rsidRPr="006666F7">
        <w:rPr>
          <w:rFonts w:ascii="Times New Roman" w:hAnsi="Times New Roman" w:cs="Times New Roman"/>
          <w:sz w:val="24"/>
          <w:szCs w:val="24"/>
        </w:rPr>
        <w:t xml:space="preserve">In this work, we study the trade-offs between cost and flexibility of a supply chain. </w:t>
      </w:r>
      <w:r w:rsidR="00076046">
        <w:rPr>
          <w:rFonts w:ascii="Times New Roman" w:hAnsi="Times New Roman" w:cs="Times New Roman"/>
          <w:sz w:val="24"/>
          <w:szCs w:val="24"/>
        </w:rPr>
        <w:t xml:space="preserve">The supply chain is modeled using an </w:t>
      </w:r>
      <w:r w:rsidR="007500C8">
        <w:rPr>
          <w:rFonts w:ascii="Times New Roman" w:hAnsi="Times New Roman" w:cs="Times New Roman"/>
          <w:sz w:val="24"/>
          <w:szCs w:val="24"/>
        </w:rPr>
        <w:t>agent-based</w:t>
      </w:r>
      <w:r w:rsidR="00076046">
        <w:rPr>
          <w:rFonts w:ascii="Times New Roman" w:hAnsi="Times New Roman" w:cs="Times New Roman"/>
          <w:sz w:val="24"/>
          <w:szCs w:val="24"/>
        </w:rPr>
        <w:t xml:space="preserve"> </w:t>
      </w:r>
      <w:r w:rsidR="007500C8">
        <w:rPr>
          <w:rFonts w:ascii="Times New Roman" w:hAnsi="Times New Roman" w:cs="Times New Roman"/>
          <w:sz w:val="24"/>
          <w:szCs w:val="24"/>
        </w:rPr>
        <w:t>simulation, which</w:t>
      </w:r>
      <w:r w:rsidR="00076046">
        <w:rPr>
          <w:rFonts w:ascii="Times New Roman" w:hAnsi="Times New Roman" w:cs="Times New Roman"/>
          <w:sz w:val="24"/>
          <w:szCs w:val="24"/>
        </w:rPr>
        <w:t xml:space="preserve"> helps to capture the</w:t>
      </w:r>
      <w:r w:rsidR="007500C8">
        <w:rPr>
          <w:rFonts w:ascii="Times New Roman" w:hAnsi="Times New Roman" w:cs="Times New Roman"/>
          <w:sz w:val="24"/>
          <w:szCs w:val="24"/>
        </w:rPr>
        <w:t xml:space="preserve"> supply chain</w:t>
      </w:r>
      <w:r w:rsidR="00076046">
        <w:rPr>
          <w:rFonts w:ascii="Times New Roman" w:hAnsi="Times New Roman" w:cs="Times New Roman"/>
          <w:sz w:val="24"/>
          <w:szCs w:val="24"/>
        </w:rPr>
        <w:t xml:space="preserve"> dynamics in a realistic </w:t>
      </w:r>
      <w:r w:rsidR="00F51035">
        <w:rPr>
          <w:rFonts w:ascii="Times New Roman" w:hAnsi="Times New Roman" w:cs="Times New Roman"/>
          <w:sz w:val="24"/>
          <w:szCs w:val="24"/>
        </w:rPr>
        <w:t>scenario</w:t>
      </w:r>
      <w:r w:rsidR="00BA097E">
        <w:rPr>
          <w:rFonts w:ascii="Times New Roman" w:hAnsi="Times New Roman" w:cs="Times New Roman"/>
          <w:sz w:val="24"/>
          <w:szCs w:val="24"/>
        </w:rPr>
        <w:t>.</w:t>
      </w:r>
      <w:r w:rsidR="00F51035">
        <w:rPr>
          <w:rFonts w:ascii="Times New Roman" w:hAnsi="Times New Roman" w:cs="Times New Roman"/>
          <w:sz w:val="24"/>
          <w:szCs w:val="24"/>
        </w:rPr>
        <w:t xml:space="preserve"> </w:t>
      </w:r>
      <w:r w:rsidR="00BA097E">
        <w:rPr>
          <w:rFonts w:ascii="Times New Roman" w:hAnsi="Times New Roman" w:cs="Times New Roman"/>
          <w:sz w:val="24"/>
          <w:szCs w:val="24"/>
        </w:rPr>
        <w:t>T</w:t>
      </w:r>
      <w:r w:rsidR="00F51035">
        <w:rPr>
          <w:rFonts w:ascii="Times New Roman" w:hAnsi="Times New Roman" w:cs="Times New Roman"/>
          <w:sz w:val="24"/>
          <w:szCs w:val="24"/>
        </w:rPr>
        <w:t>herefore</w:t>
      </w:r>
      <w:r w:rsidR="00BA097E">
        <w:rPr>
          <w:rFonts w:ascii="Times New Roman" w:hAnsi="Times New Roman" w:cs="Times New Roman"/>
          <w:sz w:val="24"/>
          <w:szCs w:val="24"/>
        </w:rPr>
        <w:t>, it helps evaluate</w:t>
      </w:r>
      <w:r w:rsidR="00F51035">
        <w:rPr>
          <w:rFonts w:ascii="Times New Roman" w:hAnsi="Times New Roman" w:cs="Times New Roman"/>
          <w:sz w:val="24"/>
          <w:szCs w:val="24"/>
        </w:rPr>
        <w:t xml:space="preserve"> the</w:t>
      </w:r>
      <w:r w:rsidR="00BA097E">
        <w:rPr>
          <w:rFonts w:ascii="Times New Roman" w:hAnsi="Times New Roman" w:cs="Times New Roman"/>
          <w:sz w:val="24"/>
          <w:szCs w:val="24"/>
        </w:rPr>
        <w:t xml:space="preserve"> </w:t>
      </w:r>
      <w:r w:rsidR="00F51035">
        <w:rPr>
          <w:rFonts w:ascii="Times New Roman" w:hAnsi="Times New Roman" w:cs="Times New Roman"/>
          <w:sz w:val="24"/>
          <w:szCs w:val="24"/>
        </w:rPr>
        <w:t>flexibility of the network</w:t>
      </w:r>
      <w:r w:rsidR="00BA097E">
        <w:rPr>
          <w:rFonts w:ascii="Times New Roman" w:hAnsi="Times New Roman" w:cs="Times New Roman"/>
          <w:sz w:val="24"/>
          <w:szCs w:val="24"/>
        </w:rPr>
        <w:t xml:space="preserve"> under realistic conditions</w:t>
      </w:r>
      <w:r w:rsidR="00F51035">
        <w:rPr>
          <w:rFonts w:ascii="Times New Roman" w:hAnsi="Times New Roman" w:cs="Times New Roman"/>
          <w:sz w:val="24"/>
          <w:szCs w:val="24"/>
        </w:rPr>
        <w:t>.</w:t>
      </w:r>
      <w:r w:rsidR="00F7249F">
        <w:rPr>
          <w:rFonts w:ascii="Times New Roman" w:hAnsi="Times New Roman" w:cs="Times New Roman"/>
          <w:sz w:val="24"/>
          <w:szCs w:val="24"/>
        </w:rPr>
        <w:t xml:space="preserve"> </w:t>
      </w:r>
      <w:r w:rsidRPr="006666F7">
        <w:rPr>
          <w:rFonts w:ascii="Times New Roman" w:hAnsi="Times New Roman" w:cs="Times New Roman"/>
          <w:sz w:val="24"/>
          <w:szCs w:val="24"/>
        </w:rPr>
        <w:t>Demand is considered to be uncertain</w:t>
      </w:r>
      <w:r w:rsidR="00F35BF8" w:rsidRPr="006666F7">
        <w:rPr>
          <w:rFonts w:ascii="Times New Roman" w:hAnsi="Times New Roman" w:cs="Times New Roman"/>
          <w:sz w:val="24"/>
          <w:szCs w:val="24"/>
        </w:rPr>
        <w:t>. V</w:t>
      </w:r>
      <w:r w:rsidRPr="006666F7">
        <w:rPr>
          <w:rFonts w:ascii="Times New Roman" w:hAnsi="Times New Roman" w:cs="Times New Roman"/>
          <w:sz w:val="24"/>
          <w:szCs w:val="24"/>
        </w:rPr>
        <w:t xml:space="preserve">ariability in demand that the supply chain </w:t>
      </w:r>
      <w:r w:rsidR="00F35BF8" w:rsidRPr="006666F7">
        <w:rPr>
          <w:rFonts w:ascii="Times New Roman" w:hAnsi="Times New Roman" w:cs="Times New Roman"/>
          <w:sz w:val="24"/>
          <w:szCs w:val="24"/>
        </w:rPr>
        <w:t>fulfills is used to define how flexible the network is</w:t>
      </w:r>
      <w:r w:rsidRPr="006666F7">
        <w:rPr>
          <w:rFonts w:ascii="Times New Roman" w:hAnsi="Times New Roman" w:cs="Times New Roman"/>
          <w:sz w:val="24"/>
          <w:szCs w:val="24"/>
        </w:rPr>
        <w:t>. A multi-period planning problem is solved</w:t>
      </w:r>
      <w:r w:rsidR="00F35BF8" w:rsidRPr="006666F7">
        <w:rPr>
          <w:rFonts w:ascii="Times New Roman" w:hAnsi="Times New Roman" w:cs="Times New Roman"/>
          <w:sz w:val="24"/>
          <w:szCs w:val="24"/>
        </w:rPr>
        <w:t xml:space="preserve"> using</w:t>
      </w:r>
      <w:r w:rsidR="00AC22B5" w:rsidRPr="006666F7">
        <w:rPr>
          <w:rFonts w:ascii="Times New Roman" w:hAnsi="Times New Roman" w:cs="Times New Roman"/>
          <w:sz w:val="24"/>
          <w:szCs w:val="24"/>
        </w:rPr>
        <w:t xml:space="preserve"> </w:t>
      </w:r>
      <w:r w:rsidR="00F35BF8" w:rsidRPr="006666F7">
        <w:rPr>
          <w:rFonts w:ascii="Times New Roman" w:hAnsi="Times New Roman" w:cs="Times New Roman"/>
          <w:sz w:val="24"/>
          <w:szCs w:val="24"/>
        </w:rPr>
        <w:t>a</w:t>
      </w:r>
      <w:r w:rsidR="00AC22B5" w:rsidRPr="006666F7">
        <w:rPr>
          <w:rFonts w:ascii="Times New Roman" w:hAnsi="Times New Roman" w:cs="Times New Roman"/>
          <w:sz w:val="24"/>
          <w:szCs w:val="24"/>
        </w:rPr>
        <w:t xml:space="preserve"> rolling horizon framework </w:t>
      </w:r>
      <w:r w:rsidR="00F35BF8" w:rsidRPr="006666F7">
        <w:rPr>
          <w:rFonts w:ascii="Times New Roman" w:hAnsi="Times New Roman" w:cs="Times New Roman"/>
          <w:sz w:val="24"/>
          <w:szCs w:val="24"/>
        </w:rPr>
        <w:t>w</w:t>
      </w:r>
      <w:r w:rsidR="00AC22B5" w:rsidRPr="006666F7">
        <w:rPr>
          <w:rFonts w:ascii="Times New Roman" w:hAnsi="Times New Roman" w:cs="Times New Roman"/>
          <w:sz w:val="24"/>
          <w:szCs w:val="24"/>
        </w:rPr>
        <w:t xml:space="preserve">here a two stage stochastic programming problem is solved at each period. In order to solve the two stage stochastic programming problem, hybrid simulation based optimization is used. Hybrid simulation based optimization has been shown to provide a few </w:t>
      </w:r>
      <w:r w:rsidR="008C1059">
        <w:rPr>
          <w:rFonts w:ascii="Times New Roman" w:hAnsi="Times New Roman" w:cs="Times New Roman"/>
          <w:sz w:val="24"/>
          <w:szCs w:val="24"/>
        </w:rPr>
        <w:t>advantages</w:t>
      </w:r>
      <w:r w:rsidR="00AC22B5" w:rsidRPr="006666F7">
        <w:rPr>
          <w:rFonts w:ascii="Times New Roman" w:hAnsi="Times New Roman" w:cs="Times New Roman"/>
          <w:sz w:val="24"/>
          <w:szCs w:val="24"/>
        </w:rPr>
        <w:t xml:space="preserve"> in solving supply chain planning problems.</w:t>
      </w:r>
      <w:r w:rsidR="000975E6" w:rsidRPr="006666F7">
        <w:rPr>
          <w:rFonts w:ascii="Times New Roman" w:hAnsi="Times New Roman" w:cs="Times New Roman"/>
          <w:sz w:val="24"/>
          <w:szCs w:val="24"/>
        </w:rPr>
        <w:fldChar w:fldCharType="begin">
          <w:fldData xml:space="preserve">PEVuZE5vdGU+PENpdGU+PEF1dGhvcj5TYWhheTwvQXV0aG9yPjxZZWFyPjIwMTM8L1llYXI+PFJl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==
</w:fldData>
        </w:fldChar>
      </w:r>
      <w:r w:rsidR="00076046">
        <w:rPr>
          <w:rFonts w:ascii="Times New Roman" w:hAnsi="Times New Roman" w:cs="Times New Roman"/>
          <w:sz w:val="24"/>
          <w:szCs w:val="24"/>
        </w:rPr>
        <w:instrText xml:space="preserve"> ADDIN EN.CITE </w:instrText>
      </w:r>
      <w:r w:rsidR="00076046">
        <w:rPr>
          <w:rFonts w:ascii="Times New Roman" w:hAnsi="Times New Roman" w:cs="Times New Roman"/>
          <w:sz w:val="24"/>
          <w:szCs w:val="24"/>
        </w:rPr>
        <w:fldChar w:fldCharType="begin">
          <w:fldData xml:space="preserve">PEVuZE5vdGU+PENpdGU+PEF1dGhvcj5TYWhheTwvQXV0aG9yPjxZZWFyPjIwMTM8L1llYXI+PFJl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==
</w:fldData>
        </w:fldChar>
      </w:r>
      <w:r w:rsidR="00076046">
        <w:rPr>
          <w:rFonts w:ascii="Times New Roman" w:hAnsi="Times New Roman" w:cs="Times New Roman"/>
          <w:sz w:val="24"/>
          <w:szCs w:val="24"/>
        </w:rPr>
        <w:instrText xml:space="preserve"> ADDIN EN.CITE.DATA </w:instrText>
      </w:r>
      <w:r w:rsidR="00076046">
        <w:rPr>
          <w:rFonts w:ascii="Times New Roman" w:hAnsi="Times New Roman" w:cs="Times New Roman"/>
          <w:sz w:val="24"/>
          <w:szCs w:val="24"/>
        </w:rPr>
      </w:r>
      <w:r w:rsidR="00076046">
        <w:rPr>
          <w:rFonts w:ascii="Times New Roman" w:hAnsi="Times New Roman" w:cs="Times New Roman"/>
          <w:sz w:val="24"/>
          <w:szCs w:val="24"/>
        </w:rPr>
        <w:fldChar w:fldCharType="end"/>
      </w:r>
      <w:r w:rsidR="000975E6" w:rsidRPr="006666F7">
        <w:rPr>
          <w:rFonts w:ascii="Times New Roman" w:hAnsi="Times New Roman" w:cs="Times New Roman"/>
          <w:sz w:val="24"/>
          <w:szCs w:val="24"/>
        </w:rPr>
      </w:r>
      <w:r w:rsidR="000975E6" w:rsidRPr="006666F7">
        <w:rPr>
          <w:rFonts w:ascii="Times New Roman" w:hAnsi="Times New Roman" w:cs="Times New Roman"/>
          <w:sz w:val="24"/>
          <w:szCs w:val="24"/>
        </w:rPr>
        <w:fldChar w:fldCharType="separate"/>
      </w:r>
      <w:hyperlink w:anchor="_ENREF_9" w:tooltip="Sahay, 2013 #33" w:history="1">
        <w:r w:rsidR="00076046" w:rsidRPr="00076046">
          <w:rPr>
            <w:rFonts w:ascii="Times New Roman" w:hAnsi="Times New Roman" w:cs="Times New Roman"/>
            <w:noProof/>
            <w:sz w:val="24"/>
            <w:szCs w:val="24"/>
            <w:vertAlign w:val="superscript"/>
          </w:rPr>
          <w:t>9</w:t>
        </w:r>
      </w:hyperlink>
      <w:r w:rsidR="00076046" w:rsidRPr="00076046">
        <w:rPr>
          <w:rFonts w:ascii="Times New Roman" w:hAnsi="Times New Roman" w:cs="Times New Roman"/>
          <w:noProof/>
          <w:sz w:val="24"/>
          <w:szCs w:val="24"/>
          <w:vertAlign w:val="superscript"/>
        </w:rPr>
        <w:t>,</w:t>
      </w:r>
      <w:hyperlink w:anchor="_ENREF_10" w:tooltip="Nikolopoulou, 2012 #34" w:history="1">
        <w:r w:rsidR="00076046" w:rsidRPr="00076046">
          <w:rPr>
            <w:rFonts w:ascii="Times New Roman" w:hAnsi="Times New Roman" w:cs="Times New Roman"/>
            <w:noProof/>
            <w:sz w:val="24"/>
            <w:szCs w:val="24"/>
            <w:vertAlign w:val="superscript"/>
          </w:rPr>
          <w:t>10</w:t>
        </w:r>
      </w:hyperlink>
      <w:r w:rsidR="000975E6" w:rsidRPr="006666F7">
        <w:rPr>
          <w:rFonts w:ascii="Times New Roman" w:hAnsi="Times New Roman" w:cs="Times New Roman"/>
          <w:sz w:val="24"/>
          <w:szCs w:val="24"/>
        </w:rPr>
        <w:fldChar w:fldCharType="end"/>
      </w:r>
      <w:r w:rsidR="00AC22B5" w:rsidRPr="006666F7">
        <w:rPr>
          <w:rFonts w:ascii="Times New Roman" w:hAnsi="Times New Roman" w:cs="Times New Roman"/>
          <w:sz w:val="24"/>
          <w:szCs w:val="24"/>
        </w:rPr>
        <w:t xml:space="preserve"> The simulation model provides a better representation of the dynamics of the supply chain while the optimization model is used to guide the simulation towards the optimal solution.</w:t>
      </w:r>
      <w:r w:rsidR="00F35BF8" w:rsidRPr="006666F7">
        <w:rPr>
          <w:rFonts w:ascii="Times New Roman" w:hAnsi="Times New Roman" w:cs="Times New Roman"/>
          <w:sz w:val="24"/>
          <w:szCs w:val="24"/>
        </w:rPr>
        <w:t xml:space="preserve"> The framework is also used to study risk management.</w:t>
      </w:r>
      <w:r w:rsidR="00702E94">
        <w:rPr>
          <w:rFonts w:ascii="Times New Roman" w:hAnsi="Times New Roman" w:cs="Times New Roman"/>
          <w:sz w:val="24"/>
          <w:szCs w:val="24"/>
        </w:rPr>
        <w:t xml:space="preserve"> The different objectives give rise to a multi-objective optimization problem which is solved using the</w:t>
      </w:r>
      <w:r w:rsidR="00AC40DB">
        <w:rPr>
          <w:rFonts w:ascii="Times New Roman" w:hAnsi="Times New Roman" w:cs="Times New Roman"/>
          <w:sz w:val="24"/>
          <w:szCs w:val="24"/>
        </w:rPr>
        <w:t xml:space="preserve"> </w:t>
      </w:r>
      <w:r w:rsidR="000975E6" w:rsidRPr="006666F7">
        <w:rPr>
          <w:rFonts w:ascii="Times New Roman" w:hAnsi="Times New Roman" w:cs="Times New Roman"/>
          <w:sz w:val="24"/>
          <w:szCs w:val="24"/>
        </w:rPr>
        <w:t xml:space="preserve">ε-constraint </w:t>
      </w:r>
      <w:r w:rsidR="00702E94">
        <w:rPr>
          <w:rFonts w:ascii="Times New Roman" w:hAnsi="Times New Roman" w:cs="Times New Roman"/>
          <w:sz w:val="24"/>
          <w:szCs w:val="24"/>
        </w:rPr>
        <w:t>method</w:t>
      </w:r>
      <w:r w:rsidR="000975E6" w:rsidRPr="006666F7">
        <w:rPr>
          <w:rFonts w:ascii="Times New Roman" w:hAnsi="Times New Roman" w:cs="Times New Roman"/>
          <w:sz w:val="24"/>
          <w:szCs w:val="24"/>
        </w:rPr>
        <w:t>.</w:t>
      </w:r>
      <w:r w:rsidR="00AC22B5" w:rsidRPr="006666F7">
        <w:rPr>
          <w:rFonts w:ascii="Times New Roman" w:hAnsi="Times New Roman" w:cs="Times New Roman"/>
          <w:sz w:val="24"/>
          <w:szCs w:val="24"/>
        </w:rPr>
        <w:t xml:space="preserve"> </w:t>
      </w:r>
      <w:r w:rsidR="003C50B5">
        <w:rPr>
          <w:rFonts w:ascii="Times New Roman" w:hAnsi="Times New Roman" w:cs="Times New Roman"/>
          <w:sz w:val="24"/>
          <w:szCs w:val="24"/>
        </w:rPr>
        <w:t>The approach has been used to solve small scale case studies in order to demonstrate its effectiveness.</w:t>
      </w:r>
    </w:p>
    <w:p w:rsidR="006666F7" w:rsidRPr="006666F7" w:rsidRDefault="006666F7" w:rsidP="004B21FC">
      <w:pPr>
        <w:spacing w:line="360" w:lineRule="auto"/>
        <w:jc w:val="both"/>
        <w:rPr>
          <w:rFonts w:ascii="Times New Roman" w:hAnsi="Times New Roman" w:cs="Times New Roman"/>
          <w:sz w:val="24"/>
          <w:szCs w:val="24"/>
        </w:rPr>
      </w:pPr>
    </w:p>
    <w:p w:rsidR="00220E8E" w:rsidRPr="006666F7" w:rsidRDefault="00DB1C98" w:rsidP="006666F7">
      <w:pPr>
        <w:spacing w:line="360" w:lineRule="auto"/>
        <w:jc w:val="both"/>
        <w:rPr>
          <w:rFonts w:ascii="Times New Roman" w:hAnsi="Times New Roman" w:cs="Times New Roman"/>
          <w:sz w:val="24"/>
          <w:szCs w:val="24"/>
        </w:rPr>
      </w:pPr>
      <w:r w:rsidRPr="006666F7">
        <w:rPr>
          <w:rFonts w:ascii="Times New Roman" w:hAnsi="Times New Roman" w:cs="Times New Roman"/>
          <w:b/>
          <w:sz w:val="24"/>
          <w:szCs w:val="24"/>
        </w:rPr>
        <w:t>References</w:t>
      </w:r>
    </w:p>
    <w:p w:rsidR="00076046" w:rsidRPr="00076046" w:rsidRDefault="00220E8E" w:rsidP="00076046">
      <w:pPr>
        <w:pStyle w:val="EndNoteBibliography"/>
        <w:spacing w:after="0"/>
        <w:ind w:left="720" w:hanging="720"/>
      </w:pPr>
      <w:r w:rsidRPr="006666F7">
        <w:rPr>
          <w:rFonts w:ascii="Times New Roman" w:hAnsi="Times New Roman" w:cs="Times New Roman"/>
          <w:sz w:val="24"/>
          <w:szCs w:val="24"/>
        </w:rPr>
        <w:fldChar w:fldCharType="begin"/>
      </w:r>
      <w:r w:rsidRPr="006666F7">
        <w:rPr>
          <w:rFonts w:ascii="Times New Roman" w:hAnsi="Times New Roman" w:cs="Times New Roman"/>
          <w:sz w:val="24"/>
          <w:szCs w:val="24"/>
        </w:rPr>
        <w:instrText xml:space="preserve"> ADDIN EN.REFLIST </w:instrText>
      </w:r>
      <w:r w:rsidRPr="006666F7">
        <w:rPr>
          <w:rFonts w:ascii="Times New Roman" w:hAnsi="Times New Roman" w:cs="Times New Roman"/>
          <w:sz w:val="24"/>
          <w:szCs w:val="24"/>
        </w:rPr>
        <w:fldChar w:fldCharType="separate"/>
      </w:r>
      <w:bookmarkStart w:id="1" w:name="_ENREF_1"/>
      <w:r w:rsidR="00076046" w:rsidRPr="00076046">
        <w:t>1.</w:t>
      </w:r>
      <w:r w:rsidR="00076046" w:rsidRPr="00076046">
        <w:tab/>
        <w:t xml:space="preserve">Upton DM. The Management of Manufacturing Flexibility. </w:t>
      </w:r>
      <w:r w:rsidR="00076046" w:rsidRPr="00076046">
        <w:rPr>
          <w:i/>
        </w:rPr>
        <w:t xml:space="preserve">California Management Review. </w:t>
      </w:r>
      <w:r w:rsidR="00076046" w:rsidRPr="00076046">
        <w:t>Winter94 1994;36(2):72-89.</w:t>
      </w:r>
      <w:bookmarkEnd w:id="1"/>
    </w:p>
    <w:p w:rsidR="00076046" w:rsidRPr="00076046" w:rsidRDefault="00076046" w:rsidP="00076046">
      <w:pPr>
        <w:pStyle w:val="EndNoteBibliography"/>
        <w:spacing w:after="0"/>
        <w:ind w:left="720" w:hanging="720"/>
      </w:pPr>
      <w:bookmarkStart w:id="2" w:name="_ENREF_2"/>
      <w:r w:rsidRPr="00076046">
        <w:lastRenderedPageBreak/>
        <w:t>2.</w:t>
      </w:r>
      <w:r w:rsidRPr="00076046">
        <w:tab/>
        <w:t xml:space="preserve">Vickery Sn, Calantone R, Dröge C. Supply Chain Flexibility: An Empirical Study. </w:t>
      </w:r>
      <w:r w:rsidRPr="00076046">
        <w:rPr>
          <w:i/>
        </w:rPr>
        <w:t xml:space="preserve">Journal of Supply Chain Management. </w:t>
      </w:r>
      <w:r w:rsidRPr="00076046">
        <w:t>1999;35(2):16-24.</w:t>
      </w:r>
      <w:bookmarkEnd w:id="2"/>
    </w:p>
    <w:p w:rsidR="00076046" w:rsidRPr="00076046" w:rsidRDefault="00076046" w:rsidP="00076046">
      <w:pPr>
        <w:pStyle w:val="EndNoteBibliography"/>
        <w:spacing w:after="0"/>
        <w:ind w:left="720" w:hanging="720"/>
      </w:pPr>
      <w:bookmarkStart w:id="3" w:name="_ENREF_3"/>
      <w:r w:rsidRPr="00076046">
        <w:t>3.</w:t>
      </w:r>
      <w:r w:rsidRPr="00076046">
        <w:tab/>
        <w:t xml:space="preserve">Pujawan IN. Assessing supply chain flexibility: a conceptual framework and case study. </w:t>
      </w:r>
      <w:r w:rsidRPr="00076046">
        <w:rPr>
          <w:i/>
        </w:rPr>
        <w:t xml:space="preserve">International Journal of Integrated Supply Management. </w:t>
      </w:r>
      <w:r w:rsidRPr="00076046">
        <w:t>2004;1(1):79-97.</w:t>
      </w:r>
      <w:bookmarkEnd w:id="3"/>
    </w:p>
    <w:p w:rsidR="00076046" w:rsidRPr="00076046" w:rsidRDefault="00076046" w:rsidP="00076046">
      <w:pPr>
        <w:pStyle w:val="EndNoteBibliography"/>
        <w:spacing w:after="0"/>
        <w:ind w:left="720" w:hanging="720"/>
      </w:pPr>
      <w:bookmarkStart w:id="4" w:name="_ENREF_4"/>
      <w:r w:rsidRPr="00076046">
        <w:t>4.</w:t>
      </w:r>
      <w:r w:rsidRPr="00076046">
        <w:tab/>
        <w:t xml:space="preserve">Winkler H. How to improve supply chain flexibility using strategic supply chain networks. </w:t>
      </w:r>
      <w:r w:rsidRPr="00076046">
        <w:rPr>
          <w:i/>
        </w:rPr>
        <w:t xml:space="preserve">Logist. Res. </w:t>
      </w:r>
      <w:r w:rsidRPr="00076046">
        <w:t>2009/03/01 2009;1(1):15-25.</w:t>
      </w:r>
      <w:bookmarkEnd w:id="4"/>
    </w:p>
    <w:p w:rsidR="00076046" w:rsidRPr="00076046" w:rsidRDefault="00076046" w:rsidP="00076046">
      <w:pPr>
        <w:pStyle w:val="EndNoteBibliography"/>
        <w:spacing w:after="0"/>
        <w:ind w:left="720" w:hanging="720"/>
      </w:pPr>
      <w:bookmarkStart w:id="5" w:name="_ENREF_5"/>
      <w:r w:rsidRPr="00076046">
        <w:t>5.</w:t>
      </w:r>
      <w:r w:rsidRPr="00076046">
        <w:tab/>
        <w:t xml:space="preserve">Garavelli AC. Flexibility configurations for the supply chain management. </w:t>
      </w:r>
      <w:r w:rsidRPr="00076046">
        <w:rPr>
          <w:i/>
        </w:rPr>
        <w:t xml:space="preserve">Int J Prod Econ. </w:t>
      </w:r>
      <w:r w:rsidRPr="00076046">
        <w:t>8/11/ 2003;85(2):141-153.</w:t>
      </w:r>
      <w:bookmarkEnd w:id="5"/>
    </w:p>
    <w:p w:rsidR="00076046" w:rsidRPr="00076046" w:rsidRDefault="00076046" w:rsidP="00076046">
      <w:pPr>
        <w:pStyle w:val="EndNoteBibliography"/>
        <w:spacing w:after="0"/>
        <w:ind w:left="720" w:hanging="720"/>
      </w:pPr>
      <w:bookmarkStart w:id="6" w:name="_ENREF_6"/>
      <w:r w:rsidRPr="00076046">
        <w:t>6.</w:t>
      </w:r>
      <w:r w:rsidRPr="00076046">
        <w:tab/>
        <w:t xml:space="preserve">Eppen GD, Martin RK, Schrage L. A Scenario Approach to Capacity Planning. </w:t>
      </w:r>
      <w:r w:rsidRPr="00076046">
        <w:rPr>
          <w:i/>
        </w:rPr>
        <w:t xml:space="preserve">Operations Research. </w:t>
      </w:r>
      <w:r w:rsidRPr="00076046">
        <w:t>1989;37(4):517-527.</w:t>
      </w:r>
      <w:bookmarkEnd w:id="6"/>
    </w:p>
    <w:p w:rsidR="00076046" w:rsidRPr="00076046" w:rsidRDefault="00076046" w:rsidP="00076046">
      <w:pPr>
        <w:pStyle w:val="EndNoteBibliography"/>
        <w:spacing w:after="0"/>
        <w:ind w:left="720" w:hanging="720"/>
      </w:pPr>
      <w:bookmarkStart w:id="7" w:name="_ENREF_7"/>
      <w:r w:rsidRPr="00076046">
        <w:t>7.</w:t>
      </w:r>
      <w:r w:rsidRPr="00076046">
        <w:tab/>
        <w:t xml:space="preserve">Barbaro A, Bagajewicz MJ. Managing financial risk in planning under uncertainty. </w:t>
      </w:r>
      <w:r w:rsidRPr="00076046">
        <w:rPr>
          <w:i/>
        </w:rPr>
        <w:t xml:space="preserve">AIChE Journal. </w:t>
      </w:r>
      <w:r w:rsidRPr="00076046">
        <w:t>2004;50(5):963-989.</w:t>
      </w:r>
      <w:bookmarkEnd w:id="7"/>
    </w:p>
    <w:p w:rsidR="00076046" w:rsidRPr="00076046" w:rsidRDefault="00076046" w:rsidP="00076046">
      <w:pPr>
        <w:pStyle w:val="EndNoteBibliography"/>
        <w:spacing w:after="0"/>
        <w:ind w:left="720" w:hanging="720"/>
      </w:pPr>
      <w:bookmarkStart w:id="8" w:name="_ENREF_8"/>
      <w:r w:rsidRPr="00076046">
        <w:t>8.</w:t>
      </w:r>
      <w:r w:rsidRPr="00076046">
        <w:tab/>
        <w:t xml:space="preserve">You F, Wassick JM, Grossmann IE. Risk management for a global supply chain planning under uncertainty: Models and algorithms. </w:t>
      </w:r>
      <w:r w:rsidRPr="00076046">
        <w:rPr>
          <w:i/>
        </w:rPr>
        <w:t xml:space="preserve">AIChE Journal. </w:t>
      </w:r>
      <w:r w:rsidRPr="00076046">
        <w:t>2009;55(4):931-946.</w:t>
      </w:r>
      <w:bookmarkEnd w:id="8"/>
    </w:p>
    <w:p w:rsidR="00076046" w:rsidRPr="00076046" w:rsidRDefault="00076046" w:rsidP="00076046">
      <w:pPr>
        <w:pStyle w:val="EndNoteBibliography"/>
        <w:spacing w:after="0"/>
        <w:ind w:left="720" w:hanging="720"/>
      </w:pPr>
      <w:bookmarkStart w:id="9" w:name="_ENREF_9"/>
      <w:r w:rsidRPr="00076046">
        <w:t>9.</w:t>
      </w:r>
      <w:r w:rsidRPr="00076046">
        <w:tab/>
        <w:t xml:space="preserve">Sahay N, Ierapetritou M. Supply chain management using an optimization driven simulation approach. </w:t>
      </w:r>
      <w:r w:rsidRPr="00076046">
        <w:rPr>
          <w:i/>
        </w:rPr>
        <w:t xml:space="preserve">AIChE Journal. </w:t>
      </w:r>
      <w:r w:rsidRPr="00076046">
        <w:t>2013;59(12):4612-4626.</w:t>
      </w:r>
      <w:bookmarkEnd w:id="9"/>
    </w:p>
    <w:p w:rsidR="00076046" w:rsidRPr="00076046" w:rsidRDefault="00076046" w:rsidP="00076046">
      <w:pPr>
        <w:pStyle w:val="EndNoteBibliography"/>
        <w:ind w:left="720" w:hanging="720"/>
      </w:pPr>
      <w:bookmarkStart w:id="10" w:name="_ENREF_10"/>
      <w:r w:rsidRPr="00076046">
        <w:t>10.</w:t>
      </w:r>
      <w:r w:rsidRPr="00076046">
        <w:tab/>
        <w:t xml:space="preserve">Nikolopoulou A, Ierapetritou MG. Hybrid simulation based optimization approach for supply chain management. </w:t>
      </w:r>
      <w:r w:rsidRPr="00076046">
        <w:rPr>
          <w:i/>
        </w:rPr>
        <w:t xml:space="preserve">Computers &amp; Chemical Engineering. </w:t>
      </w:r>
      <w:r w:rsidRPr="00076046">
        <w:t>12/20/ 2012;47(0):183-193.</w:t>
      </w:r>
      <w:bookmarkEnd w:id="10"/>
    </w:p>
    <w:p w:rsidR="004B21FC" w:rsidRPr="006666F7" w:rsidRDefault="00220E8E" w:rsidP="00B130C1">
      <w:pPr>
        <w:pStyle w:val="EndNoteBibliography"/>
        <w:ind w:left="720" w:hanging="720"/>
        <w:rPr>
          <w:rFonts w:ascii="Times New Roman" w:hAnsi="Times New Roman" w:cs="Times New Roman"/>
          <w:sz w:val="24"/>
          <w:szCs w:val="24"/>
        </w:rPr>
      </w:pPr>
      <w:r w:rsidRPr="006666F7">
        <w:rPr>
          <w:rFonts w:ascii="Times New Roman" w:hAnsi="Times New Roman" w:cs="Times New Roman"/>
          <w:sz w:val="24"/>
          <w:szCs w:val="24"/>
        </w:rPr>
        <w:fldChar w:fldCharType="end"/>
      </w:r>
    </w:p>
    <w:sectPr w:rsidR="004B21FC" w:rsidRPr="006666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83A" w:rsidRDefault="00B1283A" w:rsidP="004B21FC">
      <w:pPr>
        <w:spacing w:after="0" w:line="240" w:lineRule="auto"/>
      </w:pPr>
      <w:r>
        <w:separator/>
      </w:r>
    </w:p>
  </w:endnote>
  <w:endnote w:type="continuationSeparator" w:id="0">
    <w:p w:rsidR="00B1283A" w:rsidRDefault="00B1283A" w:rsidP="004B2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83A" w:rsidRDefault="00B1283A" w:rsidP="004B21FC">
      <w:pPr>
        <w:spacing w:after="0" w:line="240" w:lineRule="auto"/>
      </w:pPr>
      <w:r>
        <w:separator/>
      </w:r>
    </w:p>
  </w:footnote>
  <w:footnote w:type="continuationSeparator" w:id="0">
    <w:p w:rsidR="00B1283A" w:rsidRDefault="00B1283A" w:rsidP="004B21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2x0dswaxx2sfke0z96vzv0eap2zfwt0r05a&quot;&gt;AsynchronousVsSynchronous&lt;record-ids&gt;&lt;item&gt;26&lt;/item&gt;&lt;item&gt;28&lt;/item&gt;&lt;item&gt;29&lt;/item&gt;&lt;item&gt;30&lt;/item&gt;&lt;item&gt;31&lt;/item&gt;&lt;item&gt;32&lt;/item&gt;&lt;item&gt;33&lt;/item&gt;&lt;item&gt;34&lt;/item&gt;&lt;item&gt;35&lt;/item&gt;&lt;item&gt;38&lt;/item&gt;&lt;/record-ids&gt;&lt;/item&gt;&lt;/Libraries&gt;"/>
  </w:docVars>
  <w:rsids>
    <w:rsidRoot w:val="004B21FC"/>
    <w:rsid w:val="00002A98"/>
    <w:rsid w:val="000037B2"/>
    <w:rsid w:val="0000437C"/>
    <w:rsid w:val="00010C12"/>
    <w:rsid w:val="00013E8E"/>
    <w:rsid w:val="00016E9B"/>
    <w:rsid w:val="00017B57"/>
    <w:rsid w:val="00021C46"/>
    <w:rsid w:val="000313CA"/>
    <w:rsid w:val="0004312F"/>
    <w:rsid w:val="0005182A"/>
    <w:rsid w:val="0005310F"/>
    <w:rsid w:val="00054C7E"/>
    <w:rsid w:val="00055E82"/>
    <w:rsid w:val="000607E2"/>
    <w:rsid w:val="00061D80"/>
    <w:rsid w:val="00062773"/>
    <w:rsid w:val="00063E39"/>
    <w:rsid w:val="000677A8"/>
    <w:rsid w:val="000710F0"/>
    <w:rsid w:val="0007440D"/>
    <w:rsid w:val="00074E84"/>
    <w:rsid w:val="00076046"/>
    <w:rsid w:val="000777B3"/>
    <w:rsid w:val="00083866"/>
    <w:rsid w:val="00083F61"/>
    <w:rsid w:val="000842E5"/>
    <w:rsid w:val="00084795"/>
    <w:rsid w:val="00084961"/>
    <w:rsid w:val="0008605F"/>
    <w:rsid w:val="00086829"/>
    <w:rsid w:val="00090E1A"/>
    <w:rsid w:val="000915E8"/>
    <w:rsid w:val="00094F42"/>
    <w:rsid w:val="00095572"/>
    <w:rsid w:val="000975E6"/>
    <w:rsid w:val="000A04BF"/>
    <w:rsid w:val="000A6D36"/>
    <w:rsid w:val="000A791B"/>
    <w:rsid w:val="000B23AF"/>
    <w:rsid w:val="000B25B8"/>
    <w:rsid w:val="000C297A"/>
    <w:rsid w:val="000C3C3C"/>
    <w:rsid w:val="000C3ECF"/>
    <w:rsid w:val="000C47B0"/>
    <w:rsid w:val="000C509A"/>
    <w:rsid w:val="000D2314"/>
    <w:rsid w:val="000E09FD"/>
    <w:rsid w:val="000E607A"/>
    <w:rsid w:val="000F4A4B"/>
    <w:rsid w:val="000F4E44"/>
    <w:rsid w:val="00102B47"/>
    <w:rsid w:val="00102D28"/>
    <w:rsid w:val="001071D6"/>
    <w:rsid w:val="00113B80"/>
    <w:rsid w:val="001153AD"/>
    <w:rsid w:val="001158C8"/>
    <w:rsid w:val="001168FA"/>
    <w:rsid w:val="001175B0"/>
    <w:rsid w:val="001238DC"/>
    <w:rsid w:val="00124E2F"/>
    <w:rsid w:val="00125FCF"/>
    <w:rsid w:val="00127D70"/>
    <w:rsid w:val="00130FCF"/>
    <w:rsid w:val="00131537"/>
    <w:rsid w:val="001351D8"/>
    <w:rsid w:val="001368B9"/>
    <w:rsid w:val="00151C53"/>
    <w:rsid w:val="00151C74"/>
    <w:rsid w:val="00152DEA"/>
    <w:rsid w:val="00154C7F"/>
    <w:rsid w:val="00160B10"/>
    <w:rsid w:val="00164D81"/>
    <w:rsid w:val="001659A8"/>
    <w:rsid w:val="0016632C"/>
    <w:rsid w:val="001668DA"/>
    <w:rsid w:val="00166D7B"/>
    <w:rsid w:val="001702A1"/>
    <w:rsid w:val="00171B57"/>
    <w:rsid w:val="00175F0D"/>
    <w:rsid w:val="00176A55"/>
    <w:rsid w:val="00180786"/>
    <w:rsid w:val="0018426F"/>
    <w:rsid w:val="00184393"/>
    <w:rsid w:val="00192941"/>
    <w:rsid w:val="00192AAE"/>
    <w:rsid w:val="00194500"/>
    <w:rsid w:val="001948E1"/>
    <w:rsid w:val="001A1640"/>
    <w:rsid w:val="001A1850"/>
    <w:rsid w:val="001A2CCC"/>
    <w:rsid w:val="001A4488"/>
    <w:rsid w:val="001A70CC"/>
    <w:rsid w:val="001A7551"/>
    <w:rsid w:val="001B0D39"/>
    <w:rsid w:val="001B0F2B"/>
    <w:rsid w:val="001B201D"/>
    <w:rsid w:val="001B7F36"/>
    <w:rsid w:val="001C0702"/>
    <w:rsid w:val="001C3E7D"/>
    <w:rsid w:val="001C713A"/>
    <w:rsid w:val="001D43AC"/>
    <w:rsid w:val="001D6D0A"/>
    <w:rsid w:val="001F025F"/>
    <w:rsid w:val="001F25C8"/>
    <w:rsid w:val="001F2A42"/>
    <w:rsid w:val="001F7ED1"/>
    <w:rsid w:val="00207A6E"/>
    <w:rsid w:val="002110A1"/>
    <w:rsid w:val="002127F6"/>
    <w:rsid w:val="00213C2A"/>
    <w:rsid w:val="00220E8E"/>
    <w:rsid w:val="00223307"/>
    <w:rsid w:val="002233F0"/>
    <w:rsid w:val="002278BE"/>
    <w:rsid w:val="002300C5"/>
    <w:rsid w:val="002313FE"/>
    <w:rsid w:val="00233956"/>
    <w:rsid w:val="00237A1F"/>
    <w:rsid w:val="002411CA"/>
    <w:rsid w:val="00243CC6"/>
    <w:rsid w:val="00244928"/>
    <w:rsid w:val="0024519D"/>
    <w:rsid w:val="00245ECB"/>
    <w:rsid w:val="002470AF"/>
    <w:rsid w:val="00252591"/>
    <w:rsid w:val="002534A4"/>
    <w:rsid w:val="002557E7"/>
    <w:rsid w:val="002563F2"/>
    <w:rsid w:val="00256850"/>
    <w:rsid w:val="00262ABC"/>
    <w:rsid w:val="0026625C"/>
    <w:rsid w:val="00266455"/>
    <w:rsid w:val="00266F47"/>
    <w:rsid w:val="0027146E"/>
    <w:rsid w:val="002771F0"/>
    <w:rsid w:val="002779CC"/>
    <w:rsid w:val="00290605"/>
    <w:rsid w:val="00290A64"/>
    <w:rsid w:val="002920BE"/>
    <w:rsid w:val="00293192"/>
    <w:rsid w:val="00294728"/>
    <w:rsid w:val="00294FD9"/>
    <w:rsid w:val="00294FF0"/>
    <w:rsid w:val="002A1124"/>
    <w:rsid w:val="002A2DEE"/>
    <w:rsid w:val="002A3250"/>
    <w:rsid w:val="002A3C72"/>
    <w:rsid w:val="002A3CA6"/>
    <w:rsid w:val="002A4D53"/>
    <w:rsid w:val="002A7C96"/>
    <w:rsid w:val="002B07F2"/>
    <w:rsid w:val="002C0A9B"/>
    <w:rsid w:val="002C4739"/>
    <w:rsid w:val="002C6735"/>
    <w:rsid w:val="002C6C9A"/>
    <w:rsid w:val="002C739E"/>
    <w:rsid w:val="002C7E20"/>
    <w:rsid w:val="002D725D"/>
    <w:rsid w:val="002E06F4"/>
    <w:rsid w:val="002E1260"/>
    <w:rsid w:val="002E5DC8"/>
    <w:rsid w:val="002E6F02"/>
    <w:rsid w:val="002F14E2"/>
    <w:rsid w:val="002F2B69"/>
    <w:rsid w:val="002F34A2"/>
    <w:rsid w:val="002F38E9"/>
    <w:rsid w:val="002F3C86"/>
    <w:rsid w:val="002F54AF"/>
    <w:rsid w:val="002F776F"/>
    <w:rsid w:val="002F7A4C"/>
    <w:rsid w:val="00301FF2"/>
    <w:rsid w:val="003042EF"/>
    <w:rsid w:val="0031019F"/>
    <w:rsid w:val="00310295"/>
    <w:rsid w:val="0031151D"/>
    <w:rsid w:val="00316DA1"/>
    <w:rsid w:val="0032127A"/>
    <w:rsid w:val="0032192F"/>
    <w:rsid w:val="00323863"/>
    <w:rsid w:val="00323B54"/>
    <w:rsid w:val="00324BFD"/>
    <w:rsid w:val="003256A5"/>
    <w:rsid w:val="00325A55"/>
    <w:rsid w:val="0033616C"/>
    <w:rsid w:val="0033686D"/>
    <w:rsid w:val="00340C6A"/>
    <w:rsid w:val="0034101F"/>
    <w:rsid w:val="00343FBD"/>
    <w:rsid w:val="00345FE7"/>
    <w:rsid w:val="003525D7"/>
    <w:rsid w:val="00354AD8"/>
    <w:rsid w:val="0036497D"/>
    <w:rsid w:val="0036772C"/>
    <w:rsid w:val="003719F2"/>
    <w:rsid w:val="00372C7C"/>
    <w:rsid w:val="003739DA"/>
    <w:rsid w:val="003779DD"/>
    <w:rsid w:val="0038096D"/>
    <w:rsid w:val="003825B3"/>
    <w:rsid w:val="00385188"/>
    <w:rsid w:val="003940E6"/>
    <w:rsid w:val="003970FA"/>
    <w:rsid w:val="0039797C"/>
    <w:rsid w:val="00397BE3"/>
    <w:rsid w:val="003A0200"/>
    <w:rsid w:val="003A0F83"/>
    <w:rsid w:val="003A1DB6"/>
    <w:rsid w:val="003A3B5B"/>
    <w:rsid w:val="003A7035"/>
    <w:rsid w:val="003B0832"/>
    <w:rsid w:val="003B4ED6"/>
    <w:rsid w:val="003B60E4"/>
    <w:rsid w:val="003C0178"/>
    <w:rsid w:val="003C070F"/>
    <w:rsid w:val="003C2CE7"/>
    <w:rsid w:val="003C50B5"/>
    <w:rsid w:val="003C7EAC"/>
    <w:rsid w:val="003D1AE6"/>
    <w:rsid w:val="003D2E3B"/>
    <w:rsid w:val="003D3C92"/>
    <w:rsid w:val="003D64D1"/>
    <w:rsid w:val="003E23F9"/>
    <w:rsid w:val="003E35E8"/>
    <w:rsid w:val="003E59D7"/>
    <w:rsid w:val="003E7F12"/>
    <w:rsid w:val="003F1D45"/>
    <w:rsid w:val="003F302E"/>
    <w:rsid w:val="00405663"/>
    <w:rsid w:val="00407254"/>
    <w:rsid w:val="004145CB"/>
    <w:rsid w:val="004204E3"/>
    <w:rsid w:val="00425C2E"/>
    <w:rsid w:val="00426451"/>
    <w:rsid w:val="004356B1"/>
    <w:rsid w:val="00444C02"/>
    <w:rsid w:val="00455C09"/>
    <w:rsid w:val="00456C59"/>
    <w:rsid w:val="00456DB5"/>
    <w:rsid w:val="00463F3A"/>
    <w:rsid w:val="00467BFE"/>
    <w:rsid w:val="004701FB"/>
    <w:rsid w:val="00483D11"/>
    <w:rsid w:val="004861BA"/>
    <w:rsid w:val="0049069B"/>
    <w:rsid w:val="0049303C"/>
    <w:rsid w:val="0049335B"/>
    <w:rsid w:val="004972CA"/>
    <w:rsid w:val="004A0F1A"/>
    <w:rsid w:val="004A194C"/>
    <w:rsid w:val="004A2D73"/>
    <w:rsid w:val="004A521F"/>
    <w:rsid w:val="004A60FA"/>
    <w:rsid w:val="004A6203"/>
    <w:rsid w:val="004A78D8"/>
    <w:rsid w:val="004A7DDD"/>
    <w:rsid w:val="004B21FC"/>
    <w:rsid w:val="004B70D0"/>
    <w:rsid w:val="004B7119"/>
    <w:rsid w:val="004D3AF5"/>
    <w:rsid w:val="004D61DB"/>
    <w:rsid w:val="004E0FB0"/>
    <w:rsid w:val="004E4529"/>
    <w:rsid w:val="004E585A"/>
    <w:rsid w:val="004F21A8"/>
    <w:rsid w:val="004F3A7B"/>
    <w:rsid w:val="0050428C"/>
    <w:rsid w:val="00510ED9"/>
    <w:rsid w:val="005204B4"/>
    <w:rsid w:val="00524973"/>
    <w:rsid w:val="00525940"/>
    <w:rsid w:val="005318EE"/>
    <w:rsid w:val="00537122"/>
    <w:rsid w:val="00543384"/>
    <w:rsid w:val="00545149"/>
    <w:rsid w:val="00551A60"/>
    <w:rsid w:val="00552FB2"/>
    <w:rsid w:val="005576D1"/>
    <w:rsid w:val="00564572"/>
    <w:rsid w:val="005646FE"/>
    <w:rsid w:val="00564E8B"/>
    <w:rsid w:val="005671FA"/>
    <w:rsid w:val="005732B3"/>
    <w:rsid w:val="0057498F"/>
    <w:rsid w:val="00576F7E"/>
    <w:rsid w:val="00581E69"/>
    <w:rsid w:val="00583C8D"/>
    <w:rsid w:val="00586C90"/>
    <w:rsid w:val="00595B47"/>
    <w:rsid w:val="00595BFA"/>
    <w:rsid w:val="005A446B"/>
    <w:rsid w:val="005A4DCD"/>
    <w:rsid w:val="005A58A2"/>
    <w:rsid w:val="005A7A17"/>
    <w:rsid w:val="005B0B8D"/>
    <w:rsid w:val="005B1475"/>
    <w:rsid w:val="005C2C72"/>
    <w:rsid w:val="005C465A"/>
    <w:rsid w:val="005D6A87"/>
    <w:rsid w:val="005D7F27"/>
    <w:rsid w:val="005E141B"/>
    <w:rsid w:val="005E42AD"/>
    <w:rsid w:val="005E4680"/>
    <w:rsid w:val="005E6F36"/>
    <w:rsid w:val="00606866"/>
    <w:rsid w:val="006133CF"/>
    <w:rsid w:val="00616AC1"/>
    <w:rsid w:val="00626EA6"/>
    <w:rsid w:val="00634320"/>
    <w:rsid w:val="006410EF"/>
    <w:rsid w:val="00645457"/>
    <w:rsid w:val="00646631"/>
    <w:rsid w:val="00646F66"/>
    <w:rsid w:val="00647C39"/>
    <w:rsid w:val="00650106"/>
    <w:rsid w:val="0065283F"/>
    <w:rsid w:val="00653E58"/>
    <w:rsid w:val="00654A8A"/>
    <w:rsid w:val="006550C8"/>
    <w:rsid w:val="006601D3"/>
    <w:rsid w:val="0066234F"/>
    <w:rsid w:val="00662ACB"/>
    <w:rsid w:val="00662DA2"/>
    <w:rsid w:val="006666F7"/>
    <w:rsid w:val="0066696C"/>
    <w:rsid w:val="006677E0"/>
    <w:rsid w:val="00667AC1"/>
    <w:rsid w:val="00672D08"/>
    <w:rsid w:val="00673A1B"/>
    <w:rsid w:val="00675646"/>
    <w:rsid w:val="0068621F"/>
    <w:rsid w:val="00686FAA"/>
    <w:rsid w:val="006932D5"/>
    <w:rsid w:val="00694EF5"/>
    <w:rsid w:val="00697395"/>
    <w:rsid w:val="006B2400"/>
    <w:rsid w:val="006B3778"/>
    <w:rsid w:val="006C235C"/>
    <w:rsid w:val="006C5AD5"/>
    <w:rsid w:val="006C7A2B"/>
    <w:rsid w:val="006D2333"/>
    <w:rsid w:val="006D32A8"/>
    <w:rsid w:val="006D387A"/>
    <w:rsid w:val="006D42C9"/>
    <w:rsid w:val="006D4954"/>
    <w:rsid w:val="006D7BA7"/>
    <w:rsid w:val="006E0E53"/>
    <w:rsid w:val="006E69EC"/>
    <w:rsid w:val="006F2E9A"/>
    <w:rsid w:val="006F52E6"/>
    <w:rsid w:val="006F7B77"/>
    <w:rsid w:val="0070279F"/>
    <w:rsid w:val="00702E94"/>
    <w:rsid w:val="00710F0E"/>
    <w:rsid w:val="007205A1"/>
    <w:rsid w:val="00720FF8"/>
    <w:rsid w:val="00724573"/>
    <w:rsid w:val="0072586C"/>
    <w:rsid w:val="00730DAE"/>
    <w:rsid w:val="007343C9"/>
    <w:rsid w:val="00737CA8"/>
    <w:rsid w:val="007421C0"/>
    <w:rsid w:val="00746727"/>
    <w:rsid w:val="007500C8"/>
    <w:rsid w:val="00750F12"/>
    <w:rsid w:val="00752C99"/>
    <w:rsid w:val="00757DB2"/>
    <w:rsid w:val="00763727"/>
    <w:rsid w:val="00764723"/>
    <w:rsid w:val="007669F5"/>
    <w:rsid w:val="00771F8F"/>
    <w:rsid w:val="007730CE"/>
    <w:rsid w:val="007735D0"/>
    <w:rsid w:val="00775E7C"/>
    <w:rsid w:val="00776C72"/>
    <w:rsid w:val="0077745D"/>
    <w:rsid w:val="007846E1"/>
    <w:rsid w:val="007859A4"/>
    <w:rsid w:val="00790B23"/>
    <w:rsid w:val="00790C80"/>
    <w:rsid w:val="007914D0"/>
    <w:rsid w:val="007A6058"/>
    <w:rsid w:val="007A73C2"/>
    <w:rsid w:val="007B0F00"/>
    <w:rsid w:val="007B28F4"/>
    <w:rsid w:val="007B3106"/>
    <w:rsid w:val="007C23AB"/>
    <w:rsid w:val="007C2F22"/>
    <w:rsid w:val="007C6743"/>
    <w:rsid w:val="007D6E12"/>
    <w:rsid w:val="007E0884"/>
    <w:rsid w:val="007E2802"/>
    <w:rsid w:val="007E476E"/>
    <w:rsid w:val="007E7543"/>
    <w:rsid w:val="007F05A3"/>
    <w:rsid w:val="007F166A"/>
    <w:rsid w:val="0080251E"/>
    <w:rsid w:val="00804BCB"/>
    <w:rsid w:val="00816705"/>
    <w:rsid w:val="0082020C"/>
    <w:rsid w:val="00822244"/>
    <w:rsid w:val="00822B6D"/>
    <w:rsid w:val="0082360A"/>
    <w:rsid w:val="00826859"/>
    <w:rsid w:val="00830461"/>
    <w:rsid w:val="00830EDD"/>
    <w:rsid w:val="00833A7E"/>
    <w:rsid w:val="008377E0"/>
    <w:rsid w:val="00840AC5"/>
    <w:rsid w:val="00842B57"/>
    <w:rsid w:val="008462FA"/>
    <w:rsid w:val="00850683"/>
    <w:rsid w:val="00850CB2"/>
    <w:rsid w:val="00851713"/>
    <w:rsid w:val="008575DF"/>
    <w:rsid w:val="00857A54"/>
    <w:rsid w:val="00860968"/>
    <w:rsid w:val="00865F3C"/>
    <w:rsid w:val="0086623F"/>
    <w:rsid w:val="008666F2"/>
    <w:rsid w:val="00871BC7"/>
    <w:rsid w:val="00873070"/>
    <w:rsid w:val="008761D0"/>
    <w:rsid w:val="008770C7"/>
    <w:rsid w:val="00877C83"/>
    <w:rsid w:val="00884638"/>
    <w:rsid w:val="00885885"/>
    <w:rsid w:val="0089082F"/>
    <w:rsid w:val="0089092C"/>
    <w:rsid w:val="00894192"/>
    <w:rsid w:val="008967DD"/>
    <w:rsid w:val="008A5F15"/>
    <w:rsid w:val="008A64D4"/>
    <w:rsid w:val="008B0C45"/>
    <w:rsid w:val="008B678C"/>
    <w:rsid w:val="008B6D2C"/>
    <w:rsid w:val="008B76CD"/>
    <w:rsid w:val="008C1059"/>
    <w:rsid w:val="008D0F81"/>
    <w:rsid w:val="008D11E8"/>
    <w:rsid w:val="008D1842"/>
    <w:rsid w:val="008D4F0D"/>
    <w:rsid w:val="008D64F7"/>
    <w:rsid w:val="008E2B1E"/>
    <w:rsid w:val="008E51E7"/>
    <w:rsid w:val="008E5709"/>
    <w:rsid w:val="008E5C3E"/>
    <w:rsid w:val="008F15DD"/>
    <w:rsid w:val="008F30F3"/>
    <w:rsid w:val="00902AFA"/>
    <w:rsid w:val="00903E99"/>
    <w:rsid w:val="009138F0"/>
    <w:rsid w:val="00915C39"/>
    <w:rsid w:val="009161BF"/>
    <w:rsid w:val="0092465B"/>
    <w:rsid w:val="00927ED6"/>
    <w:rsid w:val="009305A9"/>
    <w:rsid w:val="00930D4A"/>
    <w:rsid w:val="0093760A"/>
    <w:rsid w:val="009419F7"/>
    <w:rsid w:val="009445B7"/>
    <w:rsid w:val="00947AFE"/>
    <w:rsid w:val="00952446"/>
    <w:rsid w:val="00957048"/>
    <w:rsid w:val="00960597"/>
    <w:rsid w:val="00962CC6"/>
    <w:rsid w:val="00964FC9"/>
    <w:rsid w:val="00967893"/>
    <w:rsid w:val="009839A3"/>
    <w:rsid w:val="009A4B8C"/>
    <w:rsid w:val="009A4BA3"/>
    <w:rsid w:val="009A7361"/>
    <w:rsid w:val="009A76D9"/>
    <w:rsid w:val="009A7CDD"/>
    <w:rsid w:val="009B03C3"/>
    <w:rsid w:val="009B1E39"/>
    <w:rsid w:val="009B223F"/>
    <w:rsid w:val="009B331D"/>
    <w:rsid w:val="009B4C87"/>
    <w:rsid w:val="009B57A7"/>
    <w:rsid w:val="009B726D"/>
    <w:rsid w:val="009C2DBE"/>
    <w:rsid w:val="009C3A17"/>
    <w:rsid w:val="009C4671"/>
    <w:rsid w:val="009D4FFF"/>
    <w:rsid w:val="009D757B"/>
    <w:rsid w:val="009E063F"/>
    <w:rsid w:val="009E24F2"/>
    <w:rsid w:val="009E35F5"/>
    <w:rsid w:val="009F11D5"/>
    <w:rsid w:val="009F2795"/>
    <w:rsid w:val="009F3B36"/>
    <w:rsid w:val="00A00D3C"/>
    <w:rsid w:val="00A03C24"/>
    <w:rsid w:val="00A07ED7"/>
    <w:rsid w:val="00A07EEC"/>
    <w:rsid w:val="00A11973"/>
    <w:rsid w:val="00A325CD"/>
    <w:rsid w:val="00A36369"/>
    <w:rsid w:val="00A402E1"/>
    <w:rsid w:val="00A45D68"/>
    <w:rsid w:val="00A46F5F"/>
    <w:rsid w:val="00A5012B"/>
    <w:rsid w:val="00A56441"/>
    <w:rsid w:val="00A57028"/>
    <w:rsid w:val="00A61BF7"/>
    <w:rsid w:val="00A70183"/>
    <w:rsid w:val="00A73816"/>
    <w:rsid w:val="00A73989"/>
    <w:rsid w:val="00A802E0"/>
    <w:rsid w:val="00A91EF2"/>
    <w:rsid w:val="00A9319A"/>
    <w:rsid w:val="00AA0348"/>
    <w:rsid w:val="00AA701E"/>
    <w:rsid w:val="00AB071B"/>
    <w:rsid w:val="00AB138C"/>
    <w:rsid w:val="00AB4212"/>
    <w:rsid w:val="00AC22B5"/>
    <w:rsid w:val="00AC40DB"/>
    <w:rsid w:val="00AC70F3"/>
    <w:rsid w:val="00AE1865"/>
    <w:rsid w:val="00AE2A2E"/>
    <w:rsid w:val="00AF0013"/>
    <w:rsid w:val="00AF648C"/>
    <w:rsid w:val="00AF742A"/>
    <w:rsid w:val="00B01C48"/>
    <w:rsid w:val="00B02855"/>
    <w:rsid w:val="00B0306D"/>
    <w:rsid w:val="00B033E2"/>
    <w:rsid w:val="00B034DF"/>
    <w:rsid w:val="00B066B7"/>
    <w:rsid w:val="00B07371"/>
    <w:rsid w:val="00B1083F"/>
    <w:rsid w:val="00B1283A"/>
    <w:rsid w:val="00B130C1"/>
    <w:rsid w:val="00B1634D"/>
    <w:rsid w:val="00B24458"/>
    <w:rsid w:val="00B250C0"/>
    <w:rsid w:val="00B2544F"/>
    <w:rsid w:val="00B25D95"/>
    <w:rsid w:val="00B261E7"/>
    <w:rsid w:val="00B27588"/>
    <w:rsid w:val="00B30211"/>
    <w:rsid w:val="00B309BD"/>
    <w:rsid w:val="00B30D66"/>
    <w:rsid w:val="00B321F0"/>
    <w:rsid w:val="00B33795"/>
    <w:rsid w:val="00B33BC5"/>
    <w:rsid w:val="00B368DB"/>
    <w:rsid w:val="00B428CE"/>
    <w:rsid w:val="00B453A3"/>
    <w:rsid w:val="00B47F39"/>
    <w:rsid w:val="00B50990"/>
    <w:rsid w:val="00B50CAC"/>
    <w:rsid w:val="00B54328"/>
    <w:rsid w:val="00B67CAE"/>
    <w:rsid w:val="00B7514E"/>
    <w:rsid w:val="00B75EFE"/>
    <w:rsid w:val="00B779F4"/>
    <w:rsid w:val="00B826A3"/>
    <w:rsid w:val="00B85598"/>
    <w:rsid w:val="00B857CD"/>
    <w:rsid w:val="00B85BC3"/>
    <w:rsid w:val="00B869E0"/>
    <w:rsid w:val="00B91E67"/>
    <w:rsid w:val="00B94C16"/>
    <w:rsid w:val="00B96142"/>
    <w:rsid w:val="00BA097E"/>
    <w:rsid w:val="00BA0A52"/>
    <w:rsid w:val="00BA1152"/>
    <w:rsid w:val="00BA2714"/>
    <w:rsid w:val="00BA27F8"/>
    <w:rsid w:val="00BA5015"/>
    <w:rsid w:val="00BA7860"/>
    <w:rsid w:val="00BB2B34"/>
    <w:rsid w:val="00BB3F0E"/>
    <w:rsid w:val="00BB5942"/>
    <w:rsid w:val="00BC09FA"/>
    <w:rsid w:val="00BC1623"/>
    <w:rsid w:val="00BC180A"/>
    <w:rsid w:val="00BC5383"/>
    <w:rsid w:val="00BD043E"/>
    <w:rsid w:val="00BD201A"/>
    <w:rsid w:val="00BD7EE1"/>
    <w:rsid w:val="00BE04B5"/>
    <w:rsid w:val="00BE1BE9"/>
    <w:rsid w:val="00BE2568"/>
    <w:rsid w:val="00BE398F"/>
    <w:rsid w:val="00BE3E4F"/>
    <w:rsid w:val="00BE779D"/>
    <w:rsid w:val="00BF3ED5"/>
    <w:rsid w:val="00BF43C7"/>
    <w:rsid w:val="00C104AC"/>
    <w:rsid w:val="00C138D6"/>
    <w:rsid w:val="00C13F2F"/>
    <w:rsid w:val="00C168F3"/>
    <w:rsid w:val="00C26B7A"/>
    <w:rsid w:val="00C315B4"/>
    <w:rsid w:val="00C37254"/>
    <w:rsid w:val="00C42721"/>
    <w:rsid w:val="00C46567"/>
    <w:rsid w:val="00C46CD2"/>
    <w:rsid w:val="00C47270"/>
    <w:rsid w:val="00C47EC5"/>
    <w:rsid w:val="00C535B3"/>
    <w:rsid w:val="00C56848"/>
    <w:rsid w:val="00C57C94"/>
    <w:rsid w:val="00C60F3F"/>
    <w:rsid w:val="00C611D5"/>
    <w:rsid w:val="00C616FD"/>
    <w:rsid w:val="00C65A99"/>
    <w:rsid w:val="00C6627F"/>
    <w:rsid w:val="00C6672F"/>
    <w:rsid w:val="00C677B7"/>
    <w:rsid w:val="00C67CCF"/>
    <w:rsid w:val="00C77AA3"/>
    <w:rsid w:val="00C77BE1"/>
    <w:rsid w:val="00C81712"/>
    <w:rsid w:val="00C8274A"/>
    <w:rsid w:val="00C90AD2"/>
    <w:rsid w:val="00C93065"/>
    <w:rsid w:val="00C94B97"/>
    <w:rsid w:val="00C95B93"/>
    <w:rsid w:val="00C96CF2"/>
    <w:rsid w:val="00C96D9F"/>
    <w:rsid w:val="00C9734B"/>
    <w:rsid w:val="00CA0135"/>
    <w:rsid w:val="00CA38CB"/>
    <w:rsid w:val="00CA3FF1"/>
    <w:rsid w:val="00CA4AC1"/>
    <w:rsid w:val="00CB4621"/>
    <w:rsid w:val="00CB6413"/>
    <w:rsid w:val="00CC138E"/>
    <w:rsid w:val="00CC7E7C"/>
    <w:rsid w:val="00CD02BF"/>
    <w:rsid w:val="00CD129A"/>
    <w:rsid w:val="00CD178F"/>
    <w:rsid w:val="00CD6FE7"/>
    <w:rsid w:val="00CE1318"/>
    <w:rsid w:val="00CE349D"/>
    <w:rsid w:val="00CE4108"/>
    <w:rsid w:val="00CE54B1"/>
    <w:rsid w:val="00CE5817"/>
    <w:rsid w:val="00CF13BD"/>
    <w:rsid w:val="00CF1A75"/>
    <w:rsid w:val="00CF21B2"/>
    <w:rsid w:val="00CF3AED"/>
    <w:rsid w:val="00CF59C1"/>
    <w:rsid w:val="00D006B8"/>
    <w:rsid w:val="00D03C25"/>
    <w:rsid w:val="00D04603"/>
    <w:rsid w:val="00D04B07"/>
    <w:rsid w:val="00D076D8"/>
    <w:rsid w:val="00D07763"/>
    <w:rsid w:val="00D125A7"/>
    <w:rsid w:val="00D12D5F"/>
    <w:rsid w:val="00D142BA"/>
    <w:rsid w:val="00D144E5"/>
    <w:rsid w:val="00D164A8"/>
    <w:rsid w:val="00D25DF2"/>
    <w:rsid w:val="00D3570A"/>
    <w:rsid w:val="00D35711"/>
    <w:rsid w:val="00D3663D"/>
    <w:rsid w:val="00D377B5"/>
    <w:rsid w:val="00D40B69"/>
    <w:rsid w:val="00D4250F"/>
    <w:rsid w:val="00D46018"/>
    <w:rsid w:val="00D478DB"/>
    <w:rsid w:val="00D47AAA"/>
    <w:rsid w:val="00D503C7"/>
    <w:rsid w:val="00D5563B"/>
    <w:rsid w:val="00D56331"/>
    <w:rsid w:val="00D563DD"/>
    <w:rsid w:val="00D62149"/>
    <w:rsid w:val="00D62CF5"/>
    <w:rsid w:val="00D65219"/>
    <w:rsid w:val="00D67BEF"/>
    <w:rsid w:val="00D700C6"/>
    <w:rsid w:val="00D72772"/>
    <w:rsid w:val="00D73DD5"/>
    <w:rsid w:val="00D73F2D"/>
    <w:rsid w:val="00D77830"/>
    <w:rsid w:val="00D82F62"/>
    <w:rsid w:val="00D85C7D"/>
    <w:rsid w:val="00D91C6B"/>
    <w:rsid w:val="00D92798"/>
    <w:rsid w:val="00D93D8E"/>
    <w:rsid w:val="00DA3240"/>
    <w:rsid w:val="00DA46D9"/>
    <w:rsid w:val="00DA5E5E"/>
    <w:rsid w:val="00DA7629"/>
    <w:rsid w:val="00DB1C98"/>
    <w:rsid w:val="00DB22CD"/>
    <w:rsid w:val="00DB69A5"/>
    <w:rsid w:val="00DC23AE"/>
    <w:rsid w:val="00DC396E"/>
    <w:rsid w:val="00DC7001"/>
    <w:rsid w:val="00DD19C6"/>
    <w:rsid w:val="00DD1C9B"/>
    <w:rsid w:val="00DD2F31"/>
    <w:rsid w:val="00DD42FB"/>
    <w:rsid w:val="00DD57FF"/>
    <w:rsid w:val="00DD769C"/>
    <w:rsid w:val="00DE15B0"/>
    <w:rsid w:val="00DE35DA"/>
    <w:rsid w:val="00DE3937"/>
    <w:rsid w:val="00DE5A43"/>
    <w:rsid w:val="00DE6DCB"/>
    <w:rsid w:val="00DE73C3"/>
    <w:rsid w:val="00DF6E6F"/>
    <w:rsid w:val="00E03FB9"/>
    <w:rsid w:val="00E040BC"/>
    <w:rsid w:val="00E04EFE"/>
    <w:rsid w:val="00E07018"/>
    <w:rsid w:val="00E0765F"/>
    <w:rsid w:val="00E1029F"/>
    <w:rsid w:val="00E12F4A"/>
    <w:rsid w:val="00E1444E"/>
    <w:rsid w:val="00E157D2"/>
    <w:rsid w:val="00E15F12"/>
    <w:rsid w:val="00E1659E"/>
    <w:rsid w:val="00E21861"/>
    <w:rsid w:val="00E22EB8"/>
    <w:rsid w:val="00E27AAD"/>
    <w:rsid w:val="00E32D6C"/>
    <w:rsid w:val="00E33914"/>
    <w:rsid w:val="00E33921"/>
    <w:rsid w:val="00E363E7"/>
    <w:rsid w:val="00E52CCC"/>
    <w:rsid w:val="00E55340"/>
    <w:rsid w:val="00E5578A"/>
    <w:rsid w:val="00E5795E"/>
    <w:rsid w:val="00E61B0F"/>
    <w:rsid w:val="00E653B0"/>
    <w:rsid w:val="00E658A2"/>
    <w:rsid w:val="00E66F78"/>
    <w:rsid w:val="00E74E9B"/>
    <w:rsid w:val="00E77D8A"/>
    <w:rsid w:val="00E81F3B"/>
    <w:rsid w:val="00E825DC"/>
    <w:rsid w:val="00E91EC3"/>
    <w:rsid w:val="00E949C7"/>
    <w:rsid w:val="00EA2280"/>
    <w:rsid w:val="00EB23B0"/>
    <w:rsid w:val="00EB4B43"/>
    <w:rsid w:val="00EC081F"/>
    <w:rsid w:val="00EC1E4E"/>
    <w:rsid w:val="00EC43E2"/>
    <w:rsid w:val="00ED29E2"/>
    <w:rsid w:val="00EE0A93"/>
    <w:rsid w:val="00EE0F79"/>
    <w:rsid w:val="00EE4D93"/>
    <w:rsid w:val="00EE54E4"/>
    <w:rsid w:val="00EE594F"/>
    <w:rsid w:val="00EF409F"/>
    <w:rsid w:val="00EF6A00"/>
    <w:rsid w:val="00EF78EC"/>
    <w:rsid w:val="00EF7F9F"/>
    <w:rsid w:val="00F024C7"/>
    <w:rsid w:val="00F05466"/>
    <w:rsid w:val="00F13698"/>
    <w:rsid w:val="00F225E7"/>
    <w:rsid w:val="00F22A33"/>
    <w:rsid w:val="00F2308A"/>
    <w:rsid w:val="00F25449"/>
    <w:rsid w:val="00F26FE8"/>
    <w:rsid w:val="00F30BC1"/>
    <w:rsid w:val="00F32324"/>
    <w:rsid w:val="00F35BF8"/>
    <w:rsid w:val="00F45AD5"/>
    <w:rsid w:val="00F51035"/>
    <w:rsid w:val="00F52B3A"/>
    <w:rsid w:val="00F52E77"/>
    <w:rsid w:val="00F54A65"/>
    <w:rsid w:val="00F5633F"/>
    <w:rsid w:val="00F61BBE"/>
    <w:rsid w:val="00F62A97"/>
    <w:rsid w:val="00F63835"/>
    <w:rsid w:val="00F63E44"/>
    <w:rsid w:val="00F70337"/>
    <w:rsid w:val="00F71279"/>
    <w:rsid w:val="00F7243E"/>
    <w:rsid w:val="00F7249F"/>
    <w:rsid w:val="00F74525"/>
    <w:rsid w:val="00F75B79"/>
    <w:rsid w:val="00F7692A"/>
    <w:rsid w:val="00F816B6"/>
    <w:rsid w:val="00F8618D"/>
    <w:rsid w:val="00F8727B"/>
    <w:rsid w:val="00F900B5"/>
    <w:rsid w:val="00F90B60"/>
    <w:rsid w:val="00F9368C"/>
    <w:rsid w:val="00F940B9"/>
    <w:rsid w:val="00F947E3"/>
    <w:rsid w:val="00F97F8D"/>
    <w:rsid w:val="00FA044F"/>
    <w:rsid w:val="00FA04DE"/>
    <w:rsid w:val="00FA4356"/>
    <w:rsid w:val="00FB1A2C"/>
    <w:rsid w:val="00FB48BB"/>
    <w:rsid w:val="00FC5F2A"/>
    <w:rsid w:val="00FD241E"/>
    <w:rsid w:val="00FD4A4F"/>
    <w:rsid w:val="00FD6F96"/>
    <w:rsid w:val="00FE2AD7"/>
    <w:rsid w:val="00FE2F2A"/>
    <w:rsid w:val="00FE7EE8"/>
    <w:rsid w:val="00FF1C83"/>
    <w:rsid w:val="00FF1E8A"/>
    <w:rsid w:val="00FF3EBA"/>
    <w:rsid w:val="00FF4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7270"/>
    <w:rPr>
      <w:color w:val="0000FF" w:themeColor="hyperlink"/>
      <w:u w:val="single"/>
    </w:rPr>
  </w:style>
  <w:style w:type="paragraph" w:customStyle="1" w:styleId="EndNoteBibliographyTitle">
    <w:name w:val="EndNote Bibliography Title"/>
    <w:basedOn w:val="Normal"/>
    <w:link w:val="EndNoteBibliographyTitleChar"/>
    <w:rsid w:val="004B7119"/>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B7119"/>
    <w:rPr>
      <w:rFonts w:ascii="Calibri" w:hAnsi="Calibri"/>
      <w:noProof/>
    </w:rPr>
  </w:style>
  <w:style w:type="paragraph" w:customStyle="1" w:styleId="EndNoteBibliography">
    <w:name w:val="EndNote Bibliography"/>
    <w:basedOn w:val="Normal"/>
    <w:link w:val="EndNoteBibliographyChar"/>
    <w:rsid w:val="004B7119"/>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B7119"/>
    <w:rPr>
      <w:rFonts w:ascii="Calibri" w:hAnsi="Calibri"/>
      <w:noProof/>
    </w:rPr>
  </w:style>
  <w:style w:type="paragraph" w:styleId="BalloonText">
    <w:name w:val="Balloon Text"/>
    <w:basedOn w:val="Normal"/>
    <w:link w:val="BalloonTextChar"/>
    <w:uiPriority w:val="99"/>
    <w:semiHidden/>
    <w:unhideWhenUsed/>
    <w:rsid w:val="00F724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249F"/>
    <w:rPr>
      <w:rFonts w:ascii="Lucida Grande" w:hAnsi="Lucida Grande" w:cs="Lucida Grande"/>
      <w:sz w:val="18"/>
      <w:szCs w:val="18"/>
    </w:rPr>
  </w:style>
  <w:style w:type="character" w:styleId="CommentReference">
    <w:name w:val="annotation reference"/>
    <w:basedOn w:val="DefaultParagraphFont"/>
    <w:uiPriority w:val="99"/>
    <w:semiHidden/>
    <w:unhideWhenUsed/>
    <w:rsid w:val="00F7249F"/>
    <w:rPr>
      <w:sz w:val="18"/>
      <w:szCs w:val="18"/>
    </w:rPr>
  </w:style>
  <w:style w:type="paragraph" w:styleId="CommentText">
    <w:name w:val="annotation text"/>
    <w:basedOn w:val="Normal"/>
    <w:link w:val="CommentTextChar"/>
    <w:uiPriority w:val="99"/>
    <w:semiHidden/>
    <w:unhideWhenUsed/>
    <w:rsid w:val="00F7249F"/>
    <w:pPr>
      <w:spacing w:line="240" w:lineRule="auto"/>
    </w:pPr>
    <w:rPr>
      <w:sz w:val="24"/>
      <w:szCs w:val="24"/>
    </w:rPr>
  </w:style>
  <w:style w:type="character" w:customStyle="1" w:styleId="CommentTextChar">
    <w:name w:val="Comment Text Char"/>
    <w:basedOn w:val="DefaultParagraphFont"/>
    <w:link w:val="CommentText"/>
    <w:uiPriority w:val="99"/>
    <w:semiHidden/>
    <w:rsid w:val="00F7249F"/>
    <w:rPr>
      <w:sz w:val="24"/>
      <w:szCs w:val="24"/>
    </w:rPr>
  </w:style>
  <w:style w:type="paragraph" w:styleId="CommentSubject">
    <w:name w:val="annotation subject"/>
    <w:basedOn w:val="CommentText"/>
    <w:next w:val="CommentText"/>
    <w:link w:val="CommentSubjectChar"/>
    <w:uiPriority w:val="99"/>
    <w:semiHidden/>
    <w:unhideWhenUsed/>
    <w:rsid w:val="00F7249F"/>
    <w:rPr>
      <w:b/>
      <w:bCs/>
      <w:sz w:val="20"/>
      <w:szCs w:val="20"/>
    </w:rPr>
  </w:style>
  <w:style w:type="character" w:customStyle="1" w:styleId="CommentSubjectChar">
    <w:name w:val="Comment Subject Char"/>
    <w:basedOn w:val="CommentTextChar"/>
    <w:link w:val="CommentSubject"/>
    <w:uiPriority w:val="99"/>
    <w:semiHidden/>
    <w:rsid w:val="00F7249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7270"/>
    <w:rPr>
      <w:color w:val="0000FF" w:themeColor="hyperlink"/>
      <w:u w:val="single"/>
    </w:rPr>
  </w:style>
  <w:style w:type="paragraph" w:customStyle="1" w:styleId="EndNoteBibliographyTitle">
    <w:name w:val="EndNote Bibliography Title"/>
    <w:basedOn w:val="Normal"/>
    <w:link w:val="EndNoteBibliographyTitleChar"/>
    <w:rsid w:val="004B7119"/>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B7119"/>
    <w:rPr>
      <w:rFonts w:ascii="Calibri" w:hAnsi="Calibri"/>
      <w:noProof/>
    </w:rPr>
  </w:style>
  <w:style w:type="paragraph" w:customStyle="1" w:styleId="EndNoteBibliography">
    <w:name w:val="EndNote Bibliography"/>
    <w:basedOn w:val="Normal"/>
    <w:link w:val="EndNoteBibliographyChar"/>
    <w:rsid w:val="004B7119"/>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B7119"/>
    <w:rPr>
      <w:rFonts w:ascii="Calibri" w:hAnsi="Calibri"/>
      <w:noProof/>
    </w:rPr>
  </w:style>
  <w:style w:type="paragraph" w:styleId="BalloonText">
    <w:name w:val="Balloon Text"/>
    <w:basedOn w:val="Normal"/>
    <w:link w:val="BalloonTextChar"/>
    <w:uiPriority w:val="99"/>
    <w:semiHidden/>
    <w:unhideWhenUsed/>
    <w:rsid w:val="00F724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249F"/>
    <w:rPr>
      <w:rFonts w:ascii="Lucida Grande" w:hAnsi="Lucida Grande" w:cs="Lucida Grande"/>
      <w:sz w:val="18"/>
      <w:szCs w:val="18"/>
    </w:rPr>
  </w:style>
  <w:style w:type="character" w:styleId="CommentReference">
    <w:name w:val="annotation reference"/>
    <w:basedOn w:val="DefaultParagraphFont"/>
    <w:uiPriority w:val="99"/>
    <w:semiHidden/>
    <w:unhideWhenUsed/>
    <w:rsid w:val="00F7249F"/>
    <w:rPr>
      <w:sz w:val="18"/>
      <w:szCs w:val="18"/>
    </w:rPr>
  </w:style>
  <w:style w:type="paragraph" w:styleId="CommentText">
    <w:name w:val="annotation text"/>
    <w:basedOn w:val="Normal"/>
    <w:link w:val="CommentTextChar"/>
    <w:uiPriority w:val="99"/>
    <w:semiHidden/>
    <w:unhideWhenUsed/>
    <w:rsid w:val="00F7249F"/>
    <w:pPr>
      <w:spacing w:line="240" w:lineRule="auto"/>
    </w:pPr>
    <w:rPr>
      <w:sz w:val="24"/>
      <w:szCs w:val="24"/>
    </w:rPr>
  </w:style>
  <w:style w:type="character" w:customStyle="1" w:styleId="CommentTextChar">
    <w:name w:val="Comment Text Char"/>
    <w:basedOn w:val="DefaultParagraphFont"/>
    <w:link w:val="CommentText"/>
    <w:uiPriority w:val="99"/>
    <w:semiHidden/>
    <w:rsid w:val="00F7249F"/>
    <w:rPr>
      <w:sz w:val="24"/>
      <w:szCs w:val="24"/>
    </w:rPr>
  </w:style>
  <w:style w:type="paragraph" w:styleId="CommentSubject">
    <w:name w:val="annotation subject"/>
    <w:basedOn w:val="CommentText"/>
    <w:next w:val="CommentText"/>
    <w:link w:val="CommentSubjectChar"/>
    <w:uiPriority w:val="99"/>
    <w:semiHidden/>
    <w:unhideWhenUsed/>
    <w:rsid w:val="00F7249F"/>
    <w:rPr>
      <w:b/>
      <w:bCs/>
      <w:sz w:val="20"/>
      <w:szCs w:val="20"/>
    </w:rPr>
  </w:style>
  <w:style w:type="character" w:customStyle="1" w:styleId="CommentSubjectChar">
    <w:name w:val="Comment Subject Char"/>
    <w:basedOn w:val="CommentTextChar"/>
    <w:link w:val="CommentSubject"/>
    <w:uiPriority w:val="99"/>
    <w:semiHidden/>
    <w:rsid w:val="00F724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2500</Words>
  <Characters>14255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Nihar Sahay</dc:creator>
  <cp:lastModifiedBy>Nihar Sahay</cp:lastModifiedBy>
  <cp:revision>5</cp:revision>
  <dcterms:created xsi:type="dcterms:W3CDTF">2014-05-09T18:08:00Z</dcterms:created>
  <dcterms:modified xsi:type="dcterms:W3CDTF">2014-05-09T19:05:00Z</dcterms:modified>
</cp:coreProperties>
</file>