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69" w:rsidRPr="00DE7BF6" w:rsidRDefault="005B7E69" w:rsidP="005B7E69">
      <w:pPr>
        <w:pStyle w:val="TitleNACSAbstract"/>
        <w:rPr>
          <w:sz w:val="28"/>
        </w:rPr>
      </w:pPr>
      <w:r w:rsidRPr="00DE7BF6">
        <w:rPr>
          <w:sz w:val="28"/>
        </w:rPr>
        <w:t>Development of SSZ-13 based sulfur resistant NH</w:t>
      </w:r>
      <w:r w:rsidRPr="00DE7BF6">
        <w:rPr>
          <w:sz w:val="28"/>
          <w:vertAlign w:val="subscript"/>
        </w:rPr>
        <w:t>3</w:t>
      </w:r>
      <w:r w:rsidRPr="00DE7BF6">
        <w:rPr>
          <w:sz w:val="28"/>
        </w:rPr>
        <w:t xml:space="preserve">-SCR catalysts </w:t>
      </w:r>
    </w:p>
    <w:p w:rsidR="005B7E69" w:rsidRPr="005B7E69" w:rsidRDefault="005B7E69" w:rsidP="005B7E69">
      <w:pPr>
        <w:jc w:val="center"/>
        <w:rPr>
          <w:sz w:val="22"/>
        </w:rPr>
      </w:pPr>
    </w:p>
    <w:p w:rsidR="005B7E69" w:rsidRPr="005B7E69" w:rsidRDefault="005B7E69" w:rsidP="005B7E69">
      <w:pPr>
        <w:jc w:val="center"/>
        <w:rPr>
          <w:sz w:val="22"/>
          <w:szCs w:val="16"/>
        </w:rPr>
      </w:pPr>
      <w:r w:rsidRPr="005B7E69">
        <w:rPr>
          <w:sz w:val="22"/>
          <w:szCs w:val="16"/>
          <w:u w:val="single"/>
        </w:rPr>
        <w:t>Chao Wang</w:t>
      </w:r>
      <w:r w:rsidRPr="005B7E69">
        <w:rPr>
          <w:sz w:val="22"/>
          <w:szCs w:val="16"/>
        </w:rPr>
        <w:t xml:space="preserve">, </w:t>
      </w:r>
      <w:proofErr w:type="spellStart"/>
      <w:r w:rsidRPr="005B7E69">
        <w:rPr>
          <w:sz w:val="22"/>
          <w:szCs w:val="16"/>
        </w:rPr>
        <w:t>Erdem</w:t>
      </w:r>
      <w:proofErr w:type="spellEnd"/>
      <w:r w:rsidRPr="005B7E69">
        <w:rPr>
          <w:sz w:val="22"/>
          <w:szCs w:val="16"/>
        </w:rPr>
        <w:t xml:space="preserve"> </w:t>
      </w:r>
      <w:proofErr w:type="spellStart"/>
      <w:r w:rsidRPr="005B7E69">
        <w:rPr>
          <w:sz w:val="22"/>
          <w:szCs w:val="16"/>
        </w:rPr>
        <w:t>Sasmaz</w:t>
      </w:r>
      <w:proofErr w:type="spellEnd"/>
      <w:r w:rsidRPr="005B7E69">
        <w:rPr>
          <w:sz w:val="22"/>
          <w:szCs w:val="16"/>
        </w:rPr>
        <w:t xml:space="preserve">, </w:t>
      </w:r>
      <w:r w:rsidR="00763108" w:rsidRPr="00763108">
        <w:rPr>
          <w:sz w:val="22"/>
          <w:szCs w:val="16"/>
        </w:rPr>
        <w:t xml:space="preserve">Benjamin Galloway, </w:t>
      </w:r>
      <w:proofErr w:type="spellStart"/>
      <w:r w:rsidR="00763108" w:rsidRPr="00763108">
        <w:rPr>
          <w:sz w:val="22"/>
          <w:szCs w:val="16"/>
        </w:rPr>
        <w:t>Bihter</w:t>
      </w:r>
      <w:proofErr w:type="spellEnd"/>
      <w:r w:rsidR="00763108" w:rsidRPr="00763108">
        <w:rPr>
          <w:sz w:val="22"/>
          <w:szCs w:val="16"/>
        </w:rPr>
        <w:t xml:space="preserve"> </w:t>
      </w:r>
      <w:proofErr w:type="spellStart"/>
      <w:r w:rsidR="00763108" w:rsidRPr="00763108">
        <w:rPr>
          <w:sz w:val="22"/>
          <w:szCs w:val="16"/>
        </w:rPr>
        <w:t>Padak</w:t>
      </w:r>
      <w:proofErr w:type="spellEnd"/>
      <w:r w:rsidR="00763108" w:rsidRPr="00763108">
        <w:rPr>
          <w:sz w:val="22"/>
          <w:szCs w:val="16"/>
        </w:rPr>
        <w:t>,</w:t>
      </w:r>
      <w:r w:rsidR="00763108" w:rsidRPr="005B7E69">
        <w:rPr>
          <w:sz w:val="22"/>
          <w:szCs w:val="16"/>
        </w:rPr>
        <w:t xml:space="preserve"> </w:t>
      </w:r>
      <w:proofErr w:type="spellStart"/>
      <w:r w:rsidRPr="005B7E69">
        <w:rPr>
          <w:sz w:val="22"/>
          <w:szCs w:val="16"/>
        </w:rPr>
        <w:t>Jochen</w:t>
      </w:r>
      <w:proofErr w:type="spellEnd"/>
      <w:r w:rsidRPr="005B7E69">
        <w:rPr>
          <w:sz w:val="22"/>
          <w:szCs w:val="16"/>
        </w:rPr>
        <w:t xml:space="preserve"> </w:t>
      </w:r>
      <w:proofErr w:type="spellStart"/>
      <w:r w:rsidRPr="005B7E69">
        <w:rPr>
          <w:sz w:val="22"/>
          <w:szCs w:val="16"/>
        </w:rPr>
        <w:t>Lauterbach</w:t>
      </w:r>
      <w:proofErr w:type="spellEnd"/>
      <w:r w:rsidRPr="005B7E69">
        <w:rPr>
          <w:sz w:val="22"/>
          <w:szCs w:val="16"/>
        </w:rPr>
        <w:t>*</w:t>
      </w:r>
    </w:p>
    <w:p w:rsidR="005B7E69" w:rsidRPr="005B7E69" w:rsidRDefault="005B7E69" w:rsidP="005B7E69">
      <w:pPr>
        <w:jc w:val="center"/>
        <w:rPr>
          <w:i/>
          <w:sz w:val="22"/>
          <w:szCs w:val="16"/>
        </w:rPr>
      </w:pPr>
      <w:r w:rsidRPr="005B7E69">
        <w:rPr>
          <w:i/>
          <w:sz w:val="22"/>
          <w:szCs w:val="16"/>
        </w:rPr>
        <w:t xml:space="preserve">Department of Chemical Engineering </w:t>
      </w:r>
    </w:p>
    <w:p w:rsidR="005B7E69" w:rsidRPr="005B7E69" w:rsidRDefault="005B7E69" w:rsidP="005B7E69">
      <w:pPr>
        <w:jc w:val="center"/>
        <w:rPr>
          <w:i/>
          <w:sz w:val="22"/>
          <w:szCs w:val="16"/>
        </w:rPr>
      </w:pPr>
      <w:r w:rsidRPr="005B7E69">
        <w:rPr>
          <w:i/>
          <w:sz w:val="22"/>
          <w:szCs w:val="16"/>
        </w:rPr>
        <w:t>University of South Carolina</w:t>
      </w:r>
    </w:p>
    <w:p w:rsidR="005B7E69" w:rsidRPr="005B7E69" w:rsidRDefault="005B7E69" w:rsidP="005B7E69">
      <w:pPr>
        <w:jc w:val="center"/>
        <w:rPr>
          <w:i/>
          <w:sz w:val="22"/>
          <w:szCs w:val="16"/>
        </w:rPr>
      </w:pPr>
      <w:r w:rsidRPr="005B7E69">
        <w:rPr>
          <w:i/>
          <w:sz w:val="22"/>
          <w:szCs w:val="16"/>
        </w:rPr>
        <w:t>Columbia, SC, 29208, U.S.A.</w:t>
      </w:r>
    </w:p>
    <w:p w:rsidR="005B7E69" w:rsidRPr="005B7E69" w:rsidRDefault="005B7E69" w:rsidP="005B7E69">
      <w:pPr>
        <w:jc w:val="center"/>
        <w:rPr>
          <w:sz w:val="22"/>
          <w:szCs w:val="16"/>
        </w:rPr>
      </w:pPr>
      <w:r w:rsidRPr="005B7E69">
        <w:rPr>
          <w:sz w:val="22"/>
          <w:szCs w:val="16"/>
        </w:rPr>
        <w:t>*lauteraj@cec.sc.edu</w:t>
      </w:r>
    </w:p>
    <w:p w:rsidR="005B7E69" w:rsidRDefault="005B7E69" w:rsidP="005B7E69">
      <w:pPr>
        <w:pStyle w:val="SectionHeadingNACS"/>
        <w:rPr>
          <w:b w:val="0"/>
        </w:rPr>
      </w:pPr>
    </w:p>
    <w:p w:rsidR="005B7E69" w:rsidRDefault="005B7E69" w:rsidP="005B7E69">
      <w:pPr>
        <w:jc w:val="both"/>
        <w:rPr>
          <w:sz w:val="24"/>
          <w:szCs w:val="24"/>
        </w:rPr>
      </w:pPr>
      <w:r w:rsidRPr="005B7E69">
        <w:rPr>
          <w:sz w:val="24"/>
          <w:szCs w:val="24"/>
        </w:rPr>
        <w:t>The ammonia-selective catalytic reduction (NH</w:t>
      </w:r>
      <w:r w:rsidRPr="005B7E69">
        <w:rPr>
          <w:sz w:val="24"/>
          <w:szCs w:val="24"/>
          <w:vertAlign w:val="subscript"/>
        </w:rPr>
        <w:t>3</w:t>
      </w:r>
      <w:r w:rsidRPr="005B7E69">
        <w:rPr>
          <w:sz w:val="24"/>
          <w:szCs w:val="24"/>
        </w:rPr>
        <w:t xml:space="preserve">-SCR) of </w:t>
      </w:r>
      <w:proofErr w:type="spellStart"/>
      <w:r w:rsidRPr="005B7E69">
        <w:rPr>
          <w:sz w:val="24"/>
          <w:szCs w:val="24"/>
        </w:rPr>
        <w:t>NO</w:t>
      </w:r>
      <w:r w:rsidRPr="00763108">
        <w:rPr>
          <w:sz w:val="24"/>
          <w:szCs w:val="24"/>
          <w:vertAlign w:val="subscript"/>
        </w:rPr>
        <w:t>x</w:t>
      </w:r>
      <w:proofErr w:type="spellEnd"/>
      <w:r w:rsidRPr="005B7E69">
        <w:rPr>
          <w:sz w:val="24"/>
          <w:szCs w:val="24"/>
        </w:rPr>
        <w:t xml:space="preserve"> is a widely used technology for the reduction of </w:t>
      </w:r>
      <w:proofErr w:type="spellStart"/>
      <w:r w:rsidRPr="005B7E69">
        <w:rPr>
          <w:sz w:val="24"/>
          <w:szCs w:val="24"/>
        </w:rPr>
        <w:t>NO</w:t>
      </w:r>
      <w:r w:rsidRPr="00763108">
        <w:rPr>
          <w:sz w:val="24"/>
          <w:szCs w:val="24"/>
          <w:vertAlign w:val="subscript"/>
        </w:rPr>
        <w:t>x</w:t>
      </w:r>
      <w:proofErr w:type="spellEnd"/>
      <w:r w:rsidRPr="005B7E69">
        <w:rPr>
          <w:sz w:val="24"/>
          <w:szCs w:val="24"/>
        </w:rPr>
        <w:t xml:space="preserve"> emissions in stationary sources (gas-, oil-, and coal-power plants) and mobile sources (e.g., diesel engines). Previous studies have shown that the activity of SCR catalysts depends on a wide parameter space including the catalyst type (i.e., V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>O</w:t>
      </w:r>
      <w:r w:rsidRPr="00763108">
        <w:rPr>
          <w:sz w:val="24"/>
          <w:szCs w:val="24"/>
          <w:vertAlign w:val="subscript"/>
        </w:rPr>
        <w:t>5</w:t>
      </w:r>
      <w:r w:rsidRPr="005B7E69">
        <w:rPr>
          <w:sz w:val="24"/>
          <w:szCs w:val="24"/>
        </w:rPr>
        <w:t>/TiO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 vs. zeolites), metal type, synthesis method, and reaction parameters (flue gas composition, reaction temperature, and space velocity). Moreover, the presence of excess O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>, SO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 and H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O vapor in combustion exhaust affects both catalyst selectivity and stability at high and low temperatures. </w:t>
      </w:r>
    </w:p>
    <w:p w:rsidR="005B7E69" w:rsidRPr="005B7E69" w:rsidRDefault="005B7E69" w:rsidP="005B7E69">
      <w:pPr>
        <w:jc w:val="both"/>
        <w:rPr>
          <w:sz w:val="24"/>
          <w:szCs w:val="24"/>
        </w:rPr>
      </w:pPr>
    </w:p>
    <w:p w:rsidR="00C06222" w:rsidRDefault="005B7E69" w:rsidP="005B7E69">
      <w:pPr>
        <w:jc w:val="both"/>
        <w:rPr>
          <w:sz w:val="24"/>
          <w:szCs w:val="24"/>
        </w:rPr>
      </w:pPr>
      <w:r w:rsidRPr="005B7E69">
        <w:rPr>
          <w:sz w:val="24"/>
          <w:szCs w:val="24"/>
        </w:rPr>
        <w:t>Many studies have shown that zeolites are promising catalysts to be operated under coal combu</w:t>
      </w:r>
      <w:r w:rsidR="004E3B54">
        <w:rPr>
          <w:sz w:val="24"/>
          <w:szCs w:val="24"/>
        </w:rPr>
        <w:t>stion flue gas conditio</w:t>
      </w:r>
      <w:bookmarkStart w:id="0" w:name="_GoBack"/>
      <w:bookmarkEnd w:id="0"/>
      <w:r w:rsidR="004E3B54">
        <w:rPr>
          <w:sz w:val="24"/>
          <w:szCs w:val="24"/>
        </w:rPr>
        <w:t>ns. P</w:t>
      </w:r>
      <w:r w:rsidRPr="005B7E69">
        <w:rPr>
          <w:sz w:val="24"/>
          <w:szCs w:val="24"/>
        </w:rPr>
        <w:t xml:space="preserve">revious work indicates that SSZ-13 based zeolite catalyst own higher thermal stability and </w:t>
      </w:r>
      <w:proofErr w:type="spellStart"/>
      <w:r w:rsidRPr="005B7E69">
        <w:rPr>
          <w:sz w:val="24"/>
          <w:szCs w:val="24"/>
        </w:rPr>
        <w:t>NO</w:t>
      </w:r>
      <w:r w:rsidRPr="005B7E69">
        <w:rPr>
          <w:sz w:val="24"/>
          <w:szCs w:val="24"/>
          <w:vertAlign w:val="subscript"/>
        </w:rPr>
        <w:t>x</w:t>
      </w:r>
      <w:proofErr w:type="spellEnd"/>
      <w:r w:rsidRPr="005B7E69">
        <w:rPr>
          <w:sz w:val="24"/>
          <w:szCs w:val="24"/>
        </w:rPr>
        <w:t xml:space="preserve"> conversion than other zeolite catalysts </w:t>
      </w:r>
      <w:r w:rsidR="004E3B54">
        <w:rPr>
          <w:sz w:val="24"/>
          <w:szCs w:val="24"/>
        </w:rPr>
        <w:t>under</w:t>
      </w:r>
      <w:r w:rsidRPr="005B7E69">
        <w:rPr>
          <w:sz w:val="24"/>
          <w:szCs w:val="24"/>
        </w:rPr>
        <w:t xml:space="preserve"> ideal flue gas condition (NO, NH</w:t>
      </w:r>
      <w:r w:rsidRPr="005B7E69">
        <w:rPr>
          <w:sz w:val="24"/>
          <w:szCs w:val="24"/>
          <w:vertAlign w:val="subscript"/>
        </w:rPr>
        <w:t>3</w:t>
      </w:r>
      <w:r w:rsidRPr="005B7E69">
        <w:rPr>
          <w:sz w:val="24"/>
          <w:szCs w:val="24"/>
        </w:rPr>
        <w:t>, O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 and N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) [1]. In this work, SSZ-13 catalysts loaded with Cu, Fe, </w:t>
      </w:r>
      <w:proofErr w:type="gramStart"/>
      <w:r w:rsidRPr="005B7E69">
        <w:rPr>
          <w:sz w:val="24"/>
          <w:szCs w:val="24"/>
        </w:rPr>
        <w:t>Ce</w:t>
      </w:r>
      <w:proofErr w:type="gramEnd"/>
      <w:r w:rsidRPr="005B7E69">
        <w:rPr>
          <w:sz w:val="24"/>
          <w:szCs w:val="24"/>
        </w:rPr>
        <w:t xml:space="preserve"> are synthesized and characterized to test NH</w:t>
      </w:r>
      <w:r w:rsidRPr="005B7E69">
        <w:rPr>
          <w:sz w:val="24"/>
          <w:szCs w:val="24"/>
          <w:vertAlign w:val="subscript"/>
        </w:rPr>
        <w:t>3</w:t>
      </w:r>
      <w:r w:rsidRPr="005B7E69">
        <w:rPr>
          <w:sz w:val="24"/>
          <w:szCs w:val="24"/>
        </w:rPr>
        <w:t>-SCR activity under SO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 and H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O feed conditions. All catalysts are found to deactivate at </w:t>
      </w:r>
      <w:r w:rsidR="005E30B5">
        <w:rPr>
          <w:sz w:val="24"/>
          <w:szCs w:val="24"/>
        </w:rPr>
        <w:t>250</w:t>
      </w:r>
      <w:r w:rsidR="005E30B5" w:rsidRPr="005E30B5">
        <w:rPr>
          <w:sz w:val="24"/>
          <w:szCs w:val="24"/>
          <w:vertAlign w:val="superscript"/>
        </w:rPr>
        <w:t>o</w:t>
      </w:r>
      <w:r w:rsidR="005E30B5">
        <w:rPr>
          <w:sz w:val="24"/>
          <w:szCs w:val="24"/>
        </w:rPr>
        <w:t xml:space="preserve">C </w:t>
      </w:r>
      <w:r w:rsidRPr="005B7E69">
        <w:rPr>
          <w:sz w:val="24"/>
          <w:szCs w:val="24"/>
        </w:rPr>
        <w:t>with the addition of SO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 xml:space="preserve"> and H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>O vapor. Among them, Cu-SSZ-13 shows the best poisoning resistance and keeps more than 90% NO conversion at high temperature. At low temperature, catalysts deactivate more than at high temperature, which might be due to the formation of (NH</w:t>
      </w:r>
      <w:r w:rsidRPr="005B7E69">
        <w:rPr>
          <w:sz w:val="24"/>
          <w:szCs w:val="24"/>
          <w:vertAlign w:val="subscript"/>
        </w:rPr>
        <w:t>4</w:t>
      </w:r>
      <w:r w:rsidRPr="005B7E69">
        <w:rPr>
          <w:sz w:val="24"/>
          <w:szCs w:val="24"/>
        </w:rPr>
        <w:t>)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>SO</w:t>
      </w:r>
      <w:r w:rsidRPr="005B7E69">
        <w:rPr>
          <w:sz w:val="24"/>
          <w:szCs w:val="24"/>
          <w:vertAlign w:val="subscript"/>
        </w:rPr>
        <w:t>4</w:t>
      </w:r>
      <w:r w:rsidRPr="005B7E69">
        <w:rPr>
          <w:sz w:val="24"/>
          <w:szCs w:val="24"/>
        </w:rPr>
        <w:t xml:space="preserve"> on the catalyst [</w:t>
      </w:r>
      <w:r>
        <w:rPr>
          <w:sz w:val="24"/>
          <w:szCs w:val="24"/>
        </w:rPr>
        <w:t>2</w:t>
      </w:r>
      <w:r w:rsidR="004E3B54">
        <w:rPr>
          <w:sz w:val="24"/>
          <w:szCs w:val="24"/>
        </w:rPr>
        <w:t xml:space="preserve">]. </w:t>
      </w:r>
      <w:r w:rsidRPr="005B7E69">
        <w:rPr>
          <w:sz w:val="24"/>
          <w:szCs w:val="24"/>
        </w:rPr>
        <w:t>XPS results support the possible formation of (NH</w:t>
      </w:r>
      <w:r w:rsidRPr="005B7E69">
        <w:rPr>
          <w:sz w:val="24"/>
          <w:szCs w:val="24"/>
          <w:vertAlign w:val="subscript"/>
        </w:rPr>
        <w:t>4</w:t>
      </w:r>
      <w:r w:rsidRPr="005B7E69">
        <w:rPr>
          <w:sz w:val="24"/>
          <w:szCs w:val="24"/>
        </w:rPr>
        <w:t>)</w:t>
      </w:r>
      <w:r w:rsidRPr="005B7E69">
        <w:rPr>
          <w:sz w:val="24"/>
          <w:szCs w:val="24"/>
          <w:vertAlign w:val="subscript"/>
        </w:rPr>
        <w:t>2</w:t>
      </w:r>
      <w:r w:rsidRPr="005B7E69">
        <w:rPr>
          <w:sz w:val="24"/>
          <w:szCs w:val="24"/>
        </w:rPr>
        <w:t>SO</w:t>
      </w:r>
      <w:r w:rsidRPr="005B7E69">
        <w:rPr>
          <w:sz w:val="24"/>
          <w:szCs w:val="24"/>
          <w:vertAlign w:val="subscript"/>
        </w:rPr>
        <w:t xml:space="preserve">4, </w:t>
      </w:r>
      <w:r w:rsidRPr="005B7E69">
        <w:rPr>
          <w:sz w:val="24"/>
          <w:szCs w:val="24"/>
        </w:rPr>
        <w:t>indicating that both NH</w:t>
      </w:r>
      <w:r w:rsidRPr="005B7E69">
        <w:rPr>
          <w:sz w:val="24"/>
          <w:szCs w:val="24"/>
          <w:vertAlign w:val="subscript"/>
        </w:rPr>
        <w:t>4</w:t>
      </w:r>
      <w:r w:rsidRPr="005B7E69">
        <w:rPr>
          <w:sz w:val="24"/>
          <w:szCs w:val="24"/>
          <w:vertAlign w:val="superscript"/>
        </w:rPr>
        <w:t>+</w:t>
      </w:r>
      <w:r w:rsidRPr="005B7E69">
        <w:rPr>
          <w:sz w:val="24"/>
          <w:szCs w:val="24"/>
        </w:rPr>
        <w:t xml:space="preserve"> and SO</w:t>
      </w:r>
      <w:r w:rsidRPr="005B7E69">
        <w:rPr>
          <w:sz w:val="24"/>
          <w:szCs w:val="24"/>
          <w:vertAlign w:val="subscript"/>
        </w:rPr>
        <w:t>4</w:t>
      </w:r>
      <w:r w:rsidRPr="005B7E69">
        <w:rPr>
          <w:sz w:val="24"/>
          <w:szCs w:val="24"/>
          <w:vertAlign w:val="superscript"/>
        </w:rPr>
        <w:t>2-</w:t>
      </w:r>
      <w:r w:rsidRPr="005B7E69">
        <w:rPr>
          <w:sz w:val="24"/>
          <w:szCs w:val="24"/>
        </w:rPr>
        <w:t xml:space="preserve"> present on the surface of the catalysts. Detailed deactivation mechanism for different metal loading SSZ-13 catalysts will be explored.  </w:t>
      </w:r>
    </w:p>
    <w:p w:rsidR="005B7E69" w:rsidRDefault="005B7E69" w:rsidP="005B7E69">
      <w:pPr>
        <w:jc w:val="both"/>
        <w:rPr>
          <w:sz w:val="24"/>
          <w:szCs w:val="24"/>
        </w:rPr>
      </w:pPr>
    </w:p>
    <w:p w:rsidR="005B7E69" w:rsidRDefault="005B7E69" w:rsidP="005B7E69">
      <w:pPr>
        <w:jc w:val="both"/>
        <w:rPr>
          <w:sz w:val="24"/>
          <w:szCs w:val="24"/>
        </w:rPr>
      </w:pPr>
    </w:p>
    <w:p w:rsidR="005B7E69" w:rsidRPr="005B7E69" w:rsidRDefault="005B7E69" w:rsidP="005B7E69">
      <w:pPr>
        <w:pStyle w:val="SectionHeadingNACS"/>
        <w:rPr>
          <w:sz w:val="22"/>
        </w:rPr>
      </w:pPr>
      <w:r w:rsidRPr="005B7E69">
        <w:rPr>
          <w:sz w:val="22"/>
        </w:rPr>
        <w:t>References</w:t>
      </w:r>
    </w:p>
    <w:p w:rsidR="005B7E69" w:rsidRPr="005E30B5" w:rsidRDefault="005B7E69" w:rsidP="005B7E69">
      <w:pPr>
        <w:jc w:val="both"/>
        <w:rPr>
          <w:sz w:val="24"/>
          <w:szCs w:val="24"/>
        </w:rPr>
      </w:pPr>
      <w:r w:rsidRPr="005B7E69">
        <w:rPr>
          <w:sz w:val="22"/>
          <w:szCs w:val="16"/>
        </w:rPr>
        <w:t xml:space="preserve">1. </w:t>
      </w:r>
      <w:r w:rsidRPr="005E30B5">
        <w:rPr>
          <w:sz w:val="24"/>
          <w:szCs w:val="24"/>
        </w:rPr>
        <w:fldChar w:fldCharType="begin"/>
      </w:r>
      <w:r w:rsidRPr="005E30B5">
        <w:rPr>
          <w:sz w:val="24"/>
          <w:szCs w:val="24"/>
        </w:rPr>
        <w:instrText xml:space="preserve"> ADDIN EN.REFLIST </w:instrText>
      </w:r>
      <w:r w:rsidRPr="005E30B5">
        <w:rPr>
          <w:sz w:val="24"/>
          <w:szCs w:val="24"/>
        </w:rPr>
        <w:fldChar w:fldCharType="separate"/>
      </w:r>
      <w:r w:rsidRPr="005E30B5">
        <w:rPr>
          <w:sz w:val="24"/>
          <w:szCs w:val="24"/>
        </w:rPr>
        <w:t xml:space="preserve">D. W. Fickel, </w:t>
      </w:r>
      <w:r w:rsidR="005E30B5" w:rsidRPr="005E30B5">
        <w:rPr>
          <w:sz w:val="24"/>
          <w:szCs w:val="24"/>
        </w:rPr>
        <w:t>E.</w:t>
      </w:r>
      <w:r w:rsidR="005E30B5">
        <w:rPr>
          <w:sz w:val="24"/>
          <w:szCs w:val="24"/>
        </w:rPr>
        <w:t xml:space="preserve"> </w:t>
      </w:r>
      <w:r w:rsidR="005E30B5" w:rsidRPr="005E30B5">
        <w:rPr>
          <w:sz w:val="24"/>
          <w:szCs w:val="24"/>
        </w:rPr>
        <w:t>D</w:t>
      </w:r>
      <w:r w:rsidR="005E30B5">
        <w:rPr>
          <w:sz w:val="24"/>
          <w:szCs w:val="24"/>
        </w:rPr>
        <w:t xml:space="preserve">. </w:t>
      </w:r>
      <w:r w:rsidR="005E30B5" w:rsidRPr="005E30B5">
        <w:rPr>
          <w:sz w:val="24"/>
          <w:szCs w:val="24"/>
        </w:rPr>
        <w:t>Addioa, J. A. Lauterbach, R.</w:t>
      </w:r>
      <w:r w:rsidR="005E30B5">
        <w:rPr>
          <w:sz w:val="24"/>
          <w:szCs w:val="24"/>
        </w:rPr>
        <w:t xml:space="preserve"> </w:t>
      </w:r>
      <w:r w:rsidR="005E30B5" w:rsidRPr="005E30B5">
        <w:rPr>
          <w:sz w:val="24"/>
          <w:szCs w:val="24"/>
        </w:rPr>
        <w:t>F. Lobo</w:t>
      </w:r>
      <w:r w:rsidRPr="005E30B5">
        <w:rPr>
          <w:sz w:val="24"/>
          <w:szCs w:val="24"/>
        </w:rPr>
        <w:t xml:space="preserve">, </w:t>
      </w:r>
      <w:r w:rsidR="005E30B5" w:rsidRPr="005E30B5">
        <w:rPr>
          <w:sz w:val="24"/>
          <w:szCs w:val="24"/>
        </w:rPr>
        <w:t xml:space="preserve">Appl. Catal. B Environmental </w:t>
      </w:r>
      <w:r w:rsidRPr="005E30B5">
        <w:rPr>
          <w:sz w:val="24"/>
          <w:szCs w:val="24"/>
        </w:rPr>
        <w:t xml:space="preserve">102, 441 (2011) </w:t>
      </w:r>
    </w:p>
    <w:p w:rsidR="005B7E69" w:rsidRPr="005E30B5" w:rsidRDefault="005B7E69" w:rsidP="005B7E69">
      <w:pPr>
        <w:rPr>
          <w:sz w:val="24"/>
          <w:szCs w:val="24"/>
        </w:rPr>
      </w:pPr>
      <w:r w:rsidRPr="005E30B5">
        <w:rPr>
          <w:sz w:val="24"/>
          <w:szCs w:val="24"/>
        </w:rPr>
        <w:fldChar w:fldCharType="end"/>
      </w:r>
      <w:r w:rsidRPr="005E30B5">
        <w:rPr>
          <w:sz w:val="24"/>
          <w:szCs w:val="24"/>
        </w:rPr>
        <w:t>2.</w:t>
      </w:r>
      <w:r w:rsidR="00763108">
        <w:rPr>
          <w:sz w:val="24"/>
          <w:szCs w:val="24"/>
        </w:rPr>
        <w:t xml:space="preserve"> G. S. Qi, R. T, Yang,</w:t>
      </w:r>
      <w:r w:rsidRPr="005E30B5">
        <w:rPr>
          <w:sz w:val="24"/>
          <w:szCs w:val="24"/>
        </w:rPr>
        <w:t xml:space="preserve"> R. Chang, Appl. </w:t>
      </w:r>
      <w:proofErr w:type="spellStart"/>
      <w:r w:rsidRPr="005E30B5">
        <w:rPr>
          <w:sz w:val="24"/>
          <w:szCs w:val="24"/>
        </w:rPr>
        <w:t>Catal</w:t>
      </w:r>
      <w:proofErr w:type="spellEnd"/>
      <w:r w:rsidRPr="005E30B5">
        <w:rPr>
          <w:sz w:val="24"/>
          <w:szCs w:val="24"/>
        </w:rPr>
        <w:t>. B Environmental, 51, 93 (2004).</w:t>
      </w:r>
    </w:p>
    <w:p w:rsidR="005B7E69" w:rsidRPr="005B7E69" w:rsidRDefault="005B7E69" w:rsidP="005B7E69">
      <w:pPr>
        <w:jc w:val="both"/>
        <w:rPr>
          <w:sz w:val="24"/>
          <w:szCs w:val="24"/>
        </w:rPr>
      </w:pPr>
    </w:p>
    <w:sectPr w:rsidR="005B7E69" w:rsidRPr="005B7E6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ochen Lauterbach">
    <w15:presenceInfo w15:providerId="Windows Live" w15:userId="2258385066dbb1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69"/>
    <w:rsid w:val="004E3B54"/>
    <w:rsid w:val="005B7E69"/>
    <w:rsid w:val="005E30B5"/>
    <w:rsid w:val="006D4615"/>
    <w:rsid w:val="00763108"/>
    <w:rsid w:val="00C06222"/>
    <w:rsid w:val="00DE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E69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7E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NACSAbstract">
    <w:name w:val="Title NACS Abstract"/>
    <w:basedOn w:val="Heading1"/>
    <w:rsid w:val="005B7E69"/>
    <w:pPr>
      <w:keepLines w:val="0"/>
      <w:spacing w:before="0"/>
      <w:jc w:val="center"/>
    </w:pPr>
    <w:rPr>
      <w:rFonts w:ascii="Times New Roman" w:eastAsia="宋体" w:hAnsi="Times New Roman" w:cs="Times New Roman"/>
      <w:bCs w:val="0"/>
      <w:color w:val="auto"/>
      <w:sz w:val="20"/>
      <w:szCs w:val="20"/>
    </w:rPr>
  </w:style>
  <w:style w:type="paragraph" w:customStyle="1" w:styleId="SectionHeadingNACS">
    <w:name w:val="Section Heading NACS"/>
    <w:basedOn w:val="Heading1"/>
    <w:rsid w:val="005B7E69"/>
    <w:pPr>
      <w:keepLines w:val="0"/>
      <w:spacing w:before="0"/>
    </w:pPr>
    <w:rPr>
      <w:rFonts w:ascii="Times New Roman" w:eastAsia="宋体" w:hAnsi="Times New Roman" w:cs="Times New Roman"/>
      <w:bCs w:val="0"/>
      <w:color w:val="auto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B7E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B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B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B54"/>
    <w:rPr>
      <w:rFonts w:ascii="Times New Roman" w:eastAsia="宋体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B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B54"/>
    <w:rPr>
      <w:rFonts w:ascii="Times New Roman" w:eastAsia="宋体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B54"/>
    <w:rPr>
      <w:rFonts w:ascii="Segoe UI" w:eastAsia="宋体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E69"/>
    <w:pPr>
      <w:spacing w:after="0" w:line="240" w:lineRule="auto"/>
    </w:pPr>
    <w:rPr>
      <w:rFonts w:ascii="Times New Roman" w:eastAsia="宋体" w:hAnsi="Times New Roman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7E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NACSAbstract">
    <w:name w:val="Title NACS Abstract"/>
    <w:basedOn w:val="Heading1"/>
    <w:rsid w:val="005B7E69"/>
    <w:pPr>
      <w:keepLines w:val="0"/>
      <w:spacing w:before="0"/>
      <w:jc w:val="center"/>
    </w:pPr>
    <w:rPr>
      <w:rFonts w:ascii="Times New Roman" w:eastAsia="宋体" w:hAnsi="Times New Roman" w:cs="Times New Roman"/>
      <w:bCs w:val="0"/>
      <w:color w:val="auto"/>
      <w:sz w:val="20"/>
      <w:szCs w:val="20"/>
    </w:rPr>
  </w:style>
  <w:style w:type="paragraph" w:customStyle="1" w:styleId="SectionHeadingNACS">
    <w:name w:val="Section Heading NACS"/>
    <w:basedOn w:val="Heading1"/>
    <w:rsid w:val="005B7E69"/>
    <w:pPr>
      <w:keepLines w:val="0"/>
      <w:spacing w:before="0"/>
    </w:pPr>
    <w:rPr>
      <w:rFonts w:ascii="Times New Roman" w:eastAsia="宋体" w:hAnsi="Times New Roman" w:cs="Times New Roman"/>
      <w:bCs w:val="0"/>
      <w:color w:val="auto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B7E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E3B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B5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B54"/>
    <w:rPr>
      <w:rFonts w:ascii="Times New Roman" w:eastAsia="宋体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B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B54"/>
    <w:rPr>
      <w:rFonts w:ascii="Times New Roman" w:eastAsia="宋体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B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B54"/>
    <w:rPr>
      <w:rFonts w:ascii="Segoe UI" w:eastAsia="宋体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</dc:creator>
  <cp:lastModifiedBy>chao</cp:lastModifiedBy>
  <cp:revision>4</cp:revision>
  <dcterms:created xsi:type="dcterms:W3CDTF">2014-05-09T14:52:00Z</dcterms:created>
  <dcterms:modified xsi:type="dcterms:W3CDTF">2014-05-09T15:18:00Z</dcterms:modified>
</cp:coreProperties>
</file>