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88E963" w14:textId="4D5A5DD6" w:rsidR="004E1718" w:rsidRPr="006B67CB" w:rsidRDefault="004E1718" w:rsidP="009630B2">
      <w:pPr>
        <w:jc w:val="center"/>
        <w:rPr>
          <w:rFonts w:ascii="Times New Roman" w:hAnsi="Times New Roman" w:cs="Times New Roman"/>
          <w:b/>
          <w:sz w:val="28"/>
          <w:szCs w:val="26"/>
        </w:rPr>
      </w:pPr>
      <w:bookmarkStart w:id="0" w:name="_GoBack"/>
      <w:bookmarkEnd w:id="0"/>
      <w:r w:rsidRPr="006B67CB">
        <w:rPr>
          <w:rFonts w:ascii="Times New Roman" w:hAnsi="Times New Roman" w:cs="Times New Roman"/>
          <w:b/>
          <w:sz w:val="28"/>
          <w:szCs w:val="26"/>
        </w:rPr>
        <w:t>Insights into Solvent Effects in Catalytic Reactions for Biomass Conversion</w:t>
      </w:r>
    </w:p>
    <w:p w14:paraId="63C6381C" w14:textId="14697A7C" w:rsidR="009630B2" w:rsidRPr="006B67CB" w:rsidRDefault="009630B2" w:rsidP="006B67CB">
      <w:pPr>
        <w:pStyle w:val="BBAuthorName"/>
      </w:pPr>
      <w:r w:rsidRPr="006B67CB">
        <w:t>M. A. Mellmer, C. Sener, J. M. R. Gallo, J. S. Luterbacher, D. M. Alonso, J. A. Dumesic</w:t>
      </w:r>
    </w:p>
    <w:p w14:paraId="4663710C" w14:textId="45955264" w:rsidR="009630B2" w:rsidRPr="006500A1" w:rsidRDefault="009630B2" w:rsidP="006500A1">
      <w:pPr>
        <w:pStyle w:val="BCAuthorAddress"/>
      </w:pPr>
      <w:r w:rsidRPr="006500A1">
        <w:t>Department of Chemical and Biological Engineering, University of Wisconsin-Madison</w:t>
      </w:r>
      <w:r w:rsidR="006500A1" w:rsidRPr="006500A1">
        <w:t>, Madison, WI</w:t>
      </w:r>
    </w:p>
    <w:p w14:paraId="31BFE918" w14:textId="77777777" w:rsidR="004E1718" w:rsidRPr="004E1718" w:rsidRDefault="004E1718">
      <w:pPr>
        <w:rPr>
          <w:rFonts w:ascii="Times New Roman" w:hAnsi="Times New Roman" w:cs="Times New Roman"/>
          <w:szCs w:val="22"/>
        </w:rPr>
      </w:pPr>
    </w:p>
    <w:p w14:paraId="39882E1D" w14:textId="765F1461" w:rsidR="00C4712C" w:rsidRPr="00E722AC" w:rsidRDefault="009619A4">
      <w:pPr>
        <w:rPr>
          <w:rFonts w:ascii="Times New Roman" w:hAnsi="Times New Roman" w:cs="Times New Roman"/>
        </w:rPr>
      </w:pPr>
      <w:r w:rsidRPr="00E722AC">
        <w:rPr>
          <w:rFonts w:ascii="Times New Roman" w:hAnsi="Times New Roman" w:cs="Times New Roman"/>
        </w:rPr>
        <w:t xml:space="preserve">Biomass conversion into platform molecules and fuels has received increasing interest in our current transition to a sustainable source of chemicals and energy. Recently, the use of organic solvents has been shown to be beneficial in the chemical conversion of lignocellulosic biomass. One such solvent is </w:t>
      </w:r>
      <w:r w:rsidRPr="00E722AC">
        <w:rPr>
          <w:rFonts w:ascii="Times New Roman" w:hAnsi="Times New Roman" w:cs="Times New Roman"/>
          <w:i/>
        </w:rPr>
        <w:t>gamma</w:t>
      </w:r>
      <w:r w:rsidRPr="00E722AC">
        <w:rPr>
          <w:rFonts w:ascii="Times New Roman" w:hAnsi="Times New Roman" w:cs="Times New Roman"/>
        </w:rPr>
        <w:t xml:space="preserve">-valerolactone (GVL), which can be produced from </w:t>
      </w:r>
      <w:r w:rsidR="00C4712C" w:rsidRPr="00E722AC">
        <w:rPr>
          <w:rFonts w:ascii="Times New Roman" w:hAnsi="Times New Roman" w:cs="Times New Roman"/>
        </w:rPr>
        <w:t>both the hemicellulose and cellulose fractions of lignocellulosic biomass</w:t>
      </w:r>
      <w:r w:rsidRPr="00E722AC">
        <w:rPr>
          <w:rFonts w:ascii="Times New Roman" w:hAnsi="Times New Roman" w:cs="Times New Roman"/>
        </w:rPr>
        <w:t xml:space="preserve"> and is miscible with water, allowing f</w:t>
      </w:r>
      <w:r w:rsidR="00C4712C" w:rsidRPr="00E722AC">
        <w:rPr>
          <w:rFonts w:ascii="Times New Roman" w:hAnsi="Times New Roman" w:cs="Times New Roman"/>
        </w:rPr>
        <w:t xml:space="preserve">or monophasic reaction systems. </w:t>
      </w:r>
      <w:r w:rsidRPr="00E722AC">
        <w:rPr>
          <w:rFonts w:ascii="Times New Roman" w:hAnsi="Times New Roman" w:cs="Times New Roman"/>
        </w:rPr>
        <w:t>The use of GVL as a solvent for biomass conversion reactions has led to significant improvements in reaction performance compared to conversion in aqueous media, where increased catalytic activity and higher selectivity to desired reaction products have been demonstrated. Furthermore, we have recently reported that the simultaneous conversion of hemicellulose and cellulose can be achieved using GVL as a solvent in a single reactor, eliminating the need for pretreatment and/or separation steps.</w:t>
      </w:r>
      <w:r w:rsidR="00ED3B4D" w:rsidRPr="00E722AC">
        <w:rPr>
          <w:rFonts w:ascii="Times New Roman" w:hAnsi="Times New Roman" w:cs="Times New Roman"/>
          <w:vertAlign w:val="superscript"/>
        </w:rPr>
        <w:t>[1]</w:t>
      </w:r>
      <w:r w:rsidRPr="00E722AC">
        <w:rPr>
          <w:rFonts w:ascii="Times New Roman" w:hAnsi="Times New Roman" w:cs="Times New Roman"/>
        </w:rPr>
        <w:t xml:space="preserve"> It was shown that GVL not only increases the selectivity to desired products, but it also solubilizes biomass and humins (</w:t>
      </w:r>
      <w:r w:rsidRPr="00E722AC">
        <w:rPr>
          <w:rFonts w:ascii="Times New Roman" w:hAnsi="Times New Roman" w:cs="Times New Roman"/>
          <w:i/>
        </w:rPr>
        <w:t>i.e.</w:t>
      </w:r>
      <w:r w:rsidRPr="00E722AC">
        <w:rPr>
          <w:rFonts w:ascii="Times New Roman" w:hAnsi="Times New Roman" w:cs="Times New Roman"/>
        </w:rPr>
        <w:t>, biomass degradation products) at typical biomass processing conditions, thereby avoiding solids handling problems. More recently, we have taken advantage of accelerated rates of cellulose and hemicellulose deconstruction in GVL-H</w:t>
      </w:r>
      <w:r w:rsidRPr="00E722AC">
        <w:rPr>
          <w:rFonts w:ascii="Times New Roman" w:hAnsi="Times New Roman" w:cs="Times New Roman"/>
          <w:vertAlign w:val="subscript"/>
        </w:rPr>
        <w:t>2</w:t>
      </w:r>
      <w:r w:rsidRPr="00E722AC">
        <w:rPr>
          <w:rFonts w:ascii="Times New Roman" w:hAnsi="Times New Roman" w:cs="Times New Roman"/>
        </w:rPr>
        <w:t>O solvent mixtures to develop a processing strategy to produce concentrated streams of C</w:t>
      </w:r>
      <w:r w:rsidRPr="00E722AC">
        <w:rPr>
          <w:rFonts w:ascii="Times New Roman" w:hAnsi="Times New Roman" w:cs="Times New Roman"/>
          <w:vertAlign w:val="subscript"/>
        </w:rPr>
        <w:t>5</w:t>
      </w:r>
      <w:r w:rsidRPr="00E722AC">
        <w:rPr>
          <w:rFonts w:ascii="Times New Roman" w:hAnsi="Times New Roman" w:cs="Times New Roman"/>
        </w:rPr>
        <w:t xml:space="preserve"> and C</w:t>
      </w:r>
      <w:r w:rsidRPr="00E722AC">
        <w:rPr>
          <w:rFonts w:ascii="Times New Roman" w:hAnsi="Times New Roman" w:cs="Times New Roman"/>
          <w:vertAlign w:val="subscript"/>
        </w:rPr>
        <w:t>6</w:t>
      </w:r>
      <w:r w:rsidRPr="00E722AC">
        <w:rPr>
          <w:rFonts w:ascii="Times New Roman" w:hAnsi="Times New Roman" w:cs="Times New Roman"/>
        </w:rPr>
        <w:t xml:space="preserve"> sugars from biomass using only dilute concentrations of mineral acids without usi</w:t>
      </w:r>
      <w:r w:rsidR="003B53CF" w:rsidRPr="00E722AC">
        <w:rPr>
          <w:rFonts w:ascii="Times New Roman" w:hAnsi="Times New Roman" w:cs="Times New Roman"/>
        </w:rPr>
        <w:t>ng enzymes or ionic liquids.</w:t>
      </w:r>
      <w:r w:rsidR="00ED3B4D" w:rsidRPr="00E722AC">
        <w:rPr>
          <w:rFonts w:ascii="Times New Roman" w:hAnsi="Times New Roman" w:cs="Times New Roman"/>
          <w:vertAlign w:val="superscript"/>
        </w:rPr>
        <w:t>[2]</w:t>
      </w:r>
      <w:r w:rsidR="003B53CF" w:rsidRPr="00E722AC">
        <w:rPr>
          <w:rFonts w:ascii="Times New Roman" w:hAnsi="Times New Roman" w:cs="Times New Roman"/>
        </w:rPr>
        <w:t xml:space="preserve"> </w:t>
      </w:r>
      <w:r w:rsidRPr="00E722AC">
        <w:rPr>
          <w:rFonts w:ascii="Times New Roman" w:hAnsi="Times New Roman" w:cs="Times New Roman"/>
        </w:rPr>
        <w:t xml:space="preserve">More generally, other polar aprotic organic solvents, such as </w:t>
      </w:r>
      <w:r w:rsidRPr="00E722AC">
        <w:rPr>
          <w:rFonts w:ascii="Times New Roman" w:hAnsi="Times New Roman" w:cs="Times New Roman"/>
          <w:i/>
        </w:rPr>
        <w:t>gamma</w:t>
      </w:r>
      <w:r w:rsidRPr="00E722AC">
        <w:rPr>
          <w:rFonts w:ascii="Times New Roman" w:hAnsi="Times New Roman" w:cs="Times New Roman"/>
        </w:rPr>
        <w:t>-lactones and furans, have shown comparable benefits to GVL in b</w:t>
      </w:r>
      <w:r w:rsidR="008024B8" w:rsidRPr="00E722AC">
        <w:rPr>
          <w:rFonts w:ascii="Times New Roman" w:hAnsi="Times New Roman" w:cs="Times New Roman"/>
        </w:rPr>
        <w:t>iomass conversion processes.</w:t>
      </w:r>
      <w:r w:rsidR="00ED3B4D" w:rsidRPr="00E722AC">
        <w:rPr>
          <w:rFonts w:ascii="Times New Roman" w:hAnsi="Times New Roman" w:cs="Times New Roman"/>
          <w:vertAlign w:val="superscript"/>
        </w:rPr>
        <w:t>[3]</w:t>
      </w:r>
    </w:p>
    <w:p w14:paraId="46B2B011" w14:textId="3D37EEB5" w:rsidR="00A60095" w:rsidRPr="00E722AC" w:rsidRDefault="009619A4" w:rsidP="004127D1">
      <w:pPr>
        <w:rPr>
          <w:rFonts w:ascii="Times New Roman" w:hAnsi="Times New Roman" w:cs="Times New Roman"/>
        </w:rPr>
      </w:pPr>
      <w:r w:rsidRPr="00E722AC">
        <w:rPr>
          <w:rFonts w:ascii="Times New Roman" w:hAnsi="Times New Roman" w:cs="Times New Roman"/>
        </w:rPr>
        <w:t>The aforementioned results indicate that GVL and other polar aprotic organic compounds are promising solvents for biomass processing reactions; however, the fundamental scientific basis for solvent effects in biomass conversion reactions is limited at present.</w:t>
      </w:r>
      <w:r w:rsidR="00C4712C" w:rsidRPr="00E722AC">
        <w:rPr>
          <w:rFonts w:ascii="Times New Roman" w:hAnsi="Times New Roman" w:cs="Times New Roman"/>
        </w:rPr>
        <w:t xml:space="preserve"> </w:t>
      </w:r>
      <w:r w:rsidR="00C30CE6" w:rsidRPr="00E722AC">
        <w:rPr>
          <w:rFonts w:ascii="Times New Roman" w:hAnsi="Times New Roman" w:cs="Times New Roman"/>
        </w:rPr>
        <w:t>We completed r</w:t>
      </w:r>
      <w:r w:rsidR="00414681" w:rsidRPr="00E722AC">
        <w:rPr>
          <w:rFonts w:ascii="Times New Roman" w:hAnsi="Times New Roman" w:cs="Times New Roman"/>
        </w:rPr>
        <w:t>eaction kinetics studies to quantify the effects of polar aprotic organic solvents on the reaction rates and selectivities of acid-catalyzed reactions of relevance for biomass conversion (</w:t>
      </w:r>
      <w:r w:rsidR="00414681" w:rsidRPr="00E722AC">
        <w:rPr>
          <w:rFonts w:ascii="Times New Roman" w:hAnsi="Times New Roman" w:cs="Times New Roman"/>
          <w:i/>
        </w:rPr>
        <w:t>e.g.</w:t>
      </w:r>
      <w:r w:rsidR="00414681" w:rsidRPr="00E722AC">
        <w:rPr>
          <w:rFonts w:ascii="Times New Roman" w:hAnsi="Times New Roman" w:cs="Times New Roman"/>
        </w:rPr>
        <w:t>, xylose dehydration to furfural).</w:t>
      </w:r>
      <w:r w:rsidR="00CA2C3E" w:rsidRPr="00E722AC">
        <w:rPr>
          <w:rFonts w:ascii="Times New Roman" w:hAnsi="Times New Roman" w:cs="Times New Roman"/>
        </w:rPr>
        <w:t xml:space="preserve"> </w:t>
      </w:r>
      <w:r w:rsidR="00A60095" w:rsidRPr="00E722AC">
        <w:rPr>
          <w:rFonts w:ascii="Times New Roman" w:hAnsi="Times New Roman" w:cs="Times New Roman"/>
        </w:rPr>
        <w:t>Based on kinetic modeling analysis, we have determined that increased selectivities are due to advantageous relative reaction rate increases in the presence of GVL</w:t>
      </w:r>
      <w:r w:rsidR="000533D7">
        <w:rPr>
          <w:rFonts w:ascii="Times New Roman" w:hAnsi="Times New Roman" w:cs="Times New Roman"/>
        </w:rPr>
        <w:t>,</w:t>
      </w:r>
      <w:r w:rsidR="00C727E6" w:rsidRPr="00E722AC">
        <w:rPr>
          <w:rFonts w:ascii="Times New Roman" w:hAnsi="Times New Roman" w:cs="Times New Roman"/>
        </w:rPr>
        <w:t xml:space="preserve"> compared to reactions carried out in water. Furthermore, our results provide a foundation for understanding the effects of aprotic organic solvents on acid-catalyzed biomass conversion reactions. We propose that these increased rates when using polar aprotic solvents stem from changes in the relative stabilization of the acidic proton catalyst versus stabilization of protonated transition states for these acid-catalyzed biomass conversion reactions.</w:t>
      </w:r>
    </w:p>
    <w:p w14:paraId="0E7E620F" w14:textId="77777777" w:rsidR="00D87BEF" w:rsidRPr="00E722AC" w:rsidRDefault="00D87BEF" w:rsidP="004127D1">
      <w:pPr>
        <w:rPr>
          <w:rFonts w:ascii="Times New Roman" w:hAnsi="Times New Roman" w:cs="Times New Roman"/>
        </w:rPr>
      </w:pPr>
    </w:p>
    <w:p w14:paraId="2218F712" w14:textId="09799998" w:rsidR="00587D51" w:rsidRPr="00E722AC" w:rsidRDefault="00ED3B4D" w:rsidP="00ED3B4D">
      <w:pPr>
        <w:contextualSpacing/>
        <w:rPr>
          <w:rFonts w:ascii="Times New Roman" w:hAnsi="Times New Roman" w:cs="Times New Roman"/>
          <w:lang w:val="de-DE"/>
        </w:rPr>
      </w:pPr>
      <w:r w:rsidRPr="00E722AC">
        <w:rPr>
          <w:rFonts w:ascii="Times New Roman" w:hAnsi="Times New Roman" w:cs="Times New Roman"/>
          <w:vertAlign w:val="superscript"/>
          <w:lang w:val="de-DE"/>
        </w:rPr>
        <w:t xml:space="preserve">[1]  </w:t>
      </w:r>
      <w:r w:rsidRPr="00E722AC">
        <w:rPr>
          <w:rFonts w:ascii="Times New Roman" w:hAnsi="Times New Roman" w:cs="Times New Roman"/>
          <w:lang w:val="de-DE"/>
        </w:rPr>
        <w:t>D. M. Alonso, S. G. Wettstein, M. A. Mellmer, E. I. Gurbuz, J. A. Dumesic, </w:t>
      </w:r>
      <w:r w:rsidRPr="00E722AC">
        <w:rPr>
          <w:rFonts w:ascii="Times New Roman" w:hAnsi="Times New Roman" w:cs="Times New Roman"/>
          <w:i/>
          <w:iCs/>
          <w:lang w:val="de-DE"/>
        </w:rPr>
        <w:t>Energy &amp; Environmental Science </w:t>
      </w:r>
      <w:r w:rsidRPr="00E722AC">
        <w:rPr>
          <w:rFonts w:ascii="Times New Roman" w:hAnsi="Times New Roman" w:cs="Times New Roman"/>
          <w:b/>
          <w:bCs/>
          <w:lang w:val="de-DE"/>
        </w:rPr>
        <w:t>2013</w:t>
      </w:r>
      <w:r w:rsidRPr="00E722AC">
        <w:rPr>
          <w:rFonts w:ascii="Times New Roman" w:hAnsi="Times New Roman" w:cs="Times New Roman"/>
          <w:lang w:val="de-DE"/>
        </w:rPr>
        <w:t>, </w:t>
      </w:r>
      <w:r w:rsidRPr="00E722AC">
        <w:rPr>
          <w:rFonts w:ascii="Times New Roman" w:hAnsi="Times New Roman" w:cs="Times New Roman"/>
          <w:i/>
          <w:iCs/>
          <w:lang w:val="de-DE"/>
        </w:rPr>
        <w:t>6</w:t>
      </w:r>
      <w:r w:rsidRPr="00E722AC">
        <w:rPr>
          <w:rFonts w:ascii="Times New Roman" w:hAnsi="Times New Roman" w:cs="Times New Roman"/>
          <w:lang w:val="de-DE"/>
        </w:rPr>
        <w:t>, 76-80.</w:t>
      </w:r>
    </w:p>
    <w:p w14:paraId="76466123" w14:textId="2B932FDF" w:rsidR="00ED3B4D" w:rsidRPr="00E722AC" w:rsidRDefault="00ED3B4D" w:rsidP="00ED3B4D">
      <w:pPr>
        <w:contextualSpacing/>
        <w:rPr>
          <w:rFonts w:ascii="Times New Roman" w:hAnsi="Times New Roman" w:cs="Times New Roman"/>
          <w:lang w:val="de-DE"/>
        </w:rPr>
      </w:pPr>
      <w:r w:rsidRPr="00E722AC">
        <w:rPr>
          <w:rFonts w:ascii="Times New Roman" w:hAnsi="Times New Roman" w:cs="Times New Roman"/>
          <w:vertAlign w:val="superscript"/>
          <w:lang w:val="de-DE"/>
        </w:rPr>
        <w:t xml:space="preserve">[2]  </w:t>
      </w:r>
      <w:r w:rsidRPr="00E722AC">
        <w:rPr>
          <w:rFonts w:ascii="Times New Roman" w:hAnsi="Times New Roman" w:cs="Times New Roman"/>
          <w:lang w:val="de-DE"/>
        </w:rPr>
        <w:t>J. S. Luterbacher, J. M. Rand, D. M. Alonso, J. Han, J. T. Youngquist, C. T. Maravelias, B. F. Pfleger, J. A. Dumesic,</w:t>
      </w:r>
      <w:r w:rsidR="000A3331" w:rsidRPr="00E722AC">
        <w:rPr>
          <w:rFonts w:ascii="Times New Roman" w:hAnsi="Times New Roman" w:cs="Times New Roman"/>
          <w:lang w:val="de-DE"/>
        </w:rPr>
        <w:t xml:space="preserve"> </w:t>
      </w:r>
      <w:r w:rsidRPr="00E722AC">
        <w:rPr>
          <w:rFonts w:ascii="Times New Roman" w:hAnsi="Times New Roman" w:cs="Times New Roman"/>
          <w:i/>
          <w:iCs/>
          <w:lang w:val="de-DE"/>
        </w:rPr>
        <w:t>Science </w:t>
      </w:r>
      <w:r w:rsidRPr="00E722AC">
        <w:rPr>
          <w:rFonts w:ascii="Times New Roman" w:hAnsi="Times New Roman" w:cs="Times New Roman"/>
          <w:b/>
          <w:bCs/>
          <w:lang w:val="de-DE"/>
        </w:rPr>
        <w:t>2014</w:t>
      </w:r>
      <w:r w:rsidRPr="00E722AC">
        <w:rPr>
          <w:rFonts w:ascii="Times New Roman" w:hAnsi="Times New Roman" w:cs="Times New Roman"/>
          <w:lang w:val="de-DE"/>
        </w:rPr>
        <w:t>, </w:t>
      </w:r>
      <w:r w:rsidRPr="00E722AC">
        <w:rPr>
          <w:rFonts w:ascii="Times New Roman" w:hAnsi="Times New Roman" w:cs="Times New Roman"/>
          <w:i/>
          <w:iCs/>
          <w:lang w:val="de-DE"/>
        </w:rPr>
        <w:t>343</w:t>
      </w:r>
      <w:r w:rsidRPr="00E722AC">
        <w:rPr>
          <w:rFonts w:ascii="Times New Roman" w:hAnsi="Times New Roman" w:cs="Times New Roman"/>
          <w:lang w:val="de-DE"/>
        </w:rPr>
        <w:t>, 277-280.</w:t>
      </w:r>
    </w:p>
    <w:p w14:paraId="56628972" w14:textId="17615F2D" w:rsidR="00ED3B4D" w:rsidRPr="00E722AC" w:rsidRDefault="00ED3B4D" w:rsidP="00ED3B4D">
      <w:pPr>
        <w:contextualSpacing/>
        <w:rPr>
          <w:rFonts w:ascii="Times New Roman" w:hAnsi="Times New Roman" w:cs="Times New Roman"/>
        </w:rPr>
      </w:pPr>
      <w:r w:rsidRPr="00E722AC">
        <w:rPr>
          <w:rFonts w:ascii="Times New Roman" w:hAnsi="Times New Roman" w:cs="Times New Roman"/>
          <w:vertAlign w:val="superscript"/>
          <w:lang w:val="de-DE"/>
        </w:rPr>
        <w:t xml:space="preserve">[3]  </w:t>
      </w:r>
      <w:r w:rsidRPr="00E722AC">
        <w:rPr>
          <w:rFonts w:ascii="Times New Roman" w:hAnsi="Times New Roman" w:cs="Times New Roman"/>
          <w:lang w:val="de-DE"/>
        </w:rPr>
        <w:t>J. M. R. Gallo, D. M. Alonso, M. A. Mellmer, J. A. Dumesic, </w:t>
      </w:r>
      <w:r w:rsidRPr="00E722AC">
        <w:rPr>
          <w:rFonts w:ascii="Times New Roman" w:hAnsi="Times New Roman" w:cs="Times New Roman"/>
          <w:i/>
          <w:iCs/>
          <w:lang w:val="de-DE"/>
        </w:rPr>
        <w:t>Green Chemistry </w:t>
      </w:r>
      <w:r w:rsidRPr="00E722AC">
        <w:rPr>
          <w:rFonts w:ascii="Times New Roman" w:hAnsi="Times New Roman" w:cs="Times New Roman"/>
          <w:b/>
          <w:bCs/>
          <w:lang w:val="de-DE"/>
        </w:rPr>
        <w:t>2013</w:t>
      </w:r>
      <w:r w:rsidRPr="00E722AC">
        <w:rPr>
          <w:rFonts w:ascii="Times New Roman" w:hAnsi="Times New Roman" w:cs="Times New Roman"/>
          <w:lang w:val="de-DE"/>
        </w:rPr>
        <w:t>, </w:t>
      </w:r>
      <w:r w:rsidRPr="00E722AC">
        <w:rPr>
          <w:rFonts w:ascii="Times New Roman" w:hAnsi="Times New Roman" w:cs="Times New Roman"/>
          <w:i/>
          <w:iCs/>
          <w:lang w:val="de-DE"/>
        </w:rPr>
        <w:t>15</w:t>
      </w:r>
      <w:r w:rsidRPr="00E722AC">
        <w:rPr>
          <w:rFonts w:ascii="Times New Roman" w:hAnsi="Times New Roman" w:cs="Times New Roman"/>
          <w:lang w:val="de-DE"/>
        </w:rPr>
        <w:t>, 85-90.</w:t>
      </w:r>
    </w:p>
    <w:sectPr w:rsidR="00ED3B4D" w:rsidRPr="00E722AC" w:rsidSect="00347298">
      <w:pgSz w:w="12240" w:h="15840"/>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MS Mincho">
    <w:altName w:val="ＭＳ 明朝"/>
    <w:charset w:val="80"/>
    <w:family w:val="modern"/>
    <w:pitch w:val="fixed"/>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embedSystemFonts/>
  <w:proofState w:spelling="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1BFC"/>
    <w:rsid w:val="00037EA4"/>
    <w:rsid w:val="00051EBB"/>
    <w:rsid w:val="000533D7"/>
    <w:rsid w:val="000A1976"/>
    <w:rsid w:val="000A3331"/>
    <w:rsid w:val="0012121B"/>
    <w:rsid w:val="00202263"/>
    <w:rsid w:val="00225260"/>
    <w:rsid w:val="002A64FA"/>
    <w:rsid w:val="00333215"/>
    <w:rsid w:val="00347298"/>
    <w:rsid w:val="00362A0B"/>
    <w:rsid w:val="003B53CF"/>
    <w:rsid w:val="004127D1"/>
    <w:rsid w:val="00414681"/>
    <w:rsid w:val="004E1718"/>
    <w:rsid w:val="00515F18"/>
    <w:rsid w:val="00587D51"/>
    <w:rsid w:val="005F6FFD"/>
    <w:rsid w:val="00600CF1"/>
    <w:rsid w:val="006500A1"/>
    <w:rsid w:val="00653204"/>
    <w:rsid w:val="006B67CB"/>
    <w:rsid w:val="006E6CFA"/>
    <w:rsid w:val="007170BC"/>
    <w:rsid w:val="00717FF7"/>
    <w:rsid w:val="008024B8"/>
    <w:rsid w:val="00847BE1"/>
    <w:rsid w:val="008C3685"/>
    <w:rsid w:val="009619A4"/>
    <w:rsid w:val="009630B2"/>
    <w:rsid w:val="009F4A70"/>
    <w:rsid w:val="00A60095"/>
    <w:rsid w:val="00C30CE6"/>
    <w:rsid w:val="00C4712C"/>
    <w:rsid w:val="00C727E6"/>
    <w:rsid w:val="00C908A5"/>
    <w:rsid w:val="00CA2C3E"/>
    <w:rsid w:val="00CA602A"/>
    <w:rsid w:val="00CC1BFC"/>
    <w:rsid w:val="00D87BEF"/>
    <w:rsid w:val="00D90E90"/>
    <w:rsid w:val="00E722AC"/>
    <w:rsid w:val="00ED3B4D"/>
    <w:rsid w:val="00FE0137"/>
    <w:rsid w:val="00FF07FF"/>
    <w:rsid w:val="00FF3A3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5972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0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withoutIndendation">
    <w:name w:val="P1_without_Indendation"/>
    <w:basedOn w:val="Normal"/>
    <w:qFormat/>
    <w:rsid w:val="009619A4"/>
    <w:pPr>
      <w:spacing w:after="0" w:line="220" w:lineRule="exact"/>
      <w:jc w:val="both"/>
    </w:pPr>
    <w:rPr>
      <w:rFonts w:ascii="Times New Roman" w:eastAsia="MS Mincho" w:hAnsi="Times New Roman" w:cs="Times New Roman"/>
      <w:sz w:val="18"/>
      <w:lang w:val="de-DE"/>
    </w:rPr>
  </w:style>
  <w:style w:type="paragraph" w:customStyle="1" w:styleId="BBAuthorName">
    <w:name w:val="BB_Author_Name"/>
    <w:basedOn w:val="Normal"/>
    <w:next w:val="BCAuthorAddress"/>
    <w:autoRedefine/>
    <w:rsid w:val="006B67CB"/>
    <w:pPr>
      <w:spacing w:after="180"/>
      <w:contextualSpacing/>
      <w:jc w:val="center"/>
    </w:pPr>
    <w:rPr>
      <w:rFonts w:ascii="Times New Roman" w:eastAsia="Times New Roman" w:hAnsi="Times New Roman" w:cs="Times New Roman"/>
      <w:kern w:val="26"/>
      <w:sz w:val="22"/>
      <w:szCs w:val="22"/>
      <w:lang w:eastAsia="en-US"/>
    </w:rPr>
  </w:style>
  <w:style w:type="paragraph" w:customStyle="1" w:styleId="BCAuthorAddress">
    <w:name w:val="BC_Author_Address"/>
    <w:basedOn w:val="Normal"/>
    <w:next w:val="Normal"/>
    <w:autoRedefine/>
    <w:rsid w:val="006500A1"/>
    <w:pPr>
      <w:spacing w:after="60" w:line="360" w:lineRule="auto"/>
      <w:contextualSpacing/>
      <w:jc w:val="center"/>
    </w:pPr>
    <w:rPr>
      <w:rFonts w:ascii="Times New Roman" w:eastAsia="Times New Roman" w:hAnsi="Times New Roman" w:cs="Times New Roman"/>
      <w:i/>
      <w:kern w:val="22"/>
      <w:sz w:val="20"/>
      <w:szCs w:val="20"/>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0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withoutIndendation">
    <w:name w:val="P1_without_Indendation"/>
    <w:basedOn w:val="Normal"/>
    <w:qFormat/>
    <w:rsid w:val="009619A4"/>
    <w:pPr>
      <w:spacing w:after="0" w:line="220" w:lineRule="exact"/>
      <w:jc w:val="both"/>
    </w:pPr>
    <w:rPr>
      <w:rFonts w:ascii="Times New Roman" w:eastAsia="MS Mincho" w:hAnsi="Times New Roman" w:cs="Times New Roman"/>
      <w:sz w:val="18"/>
      <w:lang w:val="de-DE"/>
    </w:rPr>
  </w:style>
  <w:style w:type="paragraph" w:customStyle="1" w:styleId="BBAuthorName">
    <w:name w:val="BB_Author_Name"/>
    <w:basedOn w:val="Normal"/>
    <w:next w:val="BCAuthorAddress"/>
    <w:autoRedefine/>
    <w:rsid w:val="006B67CB"/>
    <w:pPr>
      <w:spacing w:after="180"/>
      <w:contextualSpacing/>
      <w:jc w:val="center"/>
    </w:pPr>
    <w:rPr>
      <w:rFonts w:ascii="Times New Roman" w:eastAsia="Times New Roman" w:hAnsi="Times New Roman" w:cs="Times New Roman"/>
      <w:kern w:val="26"/>
      <w:sz w:val="22"/>
      <w:szCs w:val="22"/>
      <w:lang w:eastAsia="en-US"/>
    </w:rPr>
  </w:style>
  <w:style w:type="paragraph" w:customStyle="1" w:styleId="BCAuthorAddress">
    <w:name w:val="BC_Author_Address"/>
    <w:basedOn w:val="Normal"/>
    <w:next w:val="Normal"/>
    <w:autoRedefine/>
    <w:rsid w:val="006500A1"/>
    <w:pPr>
      <w:spacing w:after="60" w:line="360" w:lineRule="auto"/>
      <w:contextualSpacing/>
      <w:jc w:val="center"/>
    </w:pPr>
    <w:rPr>
      <w:rFonts w:ascii="Times New Roman" w:eastAsia="Times New Roman" w:hAnsi="Times New Roman" w:cs="Times New Roman"/>
      <w:i/>
      <w:kern w:val="22"/>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822FA5-261E-7C42-A239-772052BDA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521</Words>
  <Characters>2976</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North Dakota</Company>
  <LinksUpToDate>false</LinksUpToDate>
  <CharactersWithSpaces>3491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dc:creator>
  <cp:lastModifiedBy>Max</cp:lastModifiedBy>
  <cp:revision>14</cp:revision>
  <dcterms:created xsi:type="dcterms:W3CDTF">2014-05-11T01:56:00Z</dcterms:created>
  <dcterms:modified xsi:type="dcterms:W3CDTF">2014-05-11T03:16:00Z</dcterms:modified>
</cp:coreProperties>
</file>