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67" w:rsidRPr="00875D67" w:rsidRDefault="00236FA9" w:rsidP="00875D6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Enhancement of Cancer Cellular Uptake by the Morphology of </w:t>
      </w:r>
      <w:r w:rsidR="00D27884">
        <w:rPr>
          <w:rFonts w:ascii="Times New Roman" w:hAnsi="Times New Roman" w:cs="Times New Roman"/>
          <w:b/>
          <w:sz w:val="32"/>
          <w:szCs w:val="32"/>
        </w:rPr>
        <w:t xml:space="preserve">Lipid-Based </w:t>
      </w:r>
      <w:r>
        <w:rPr>
          <w:rFonts w:ascii="Times New Roman" w:hAnsi="Times New Roman" w:cs="Times New Roman"/>
          <w:b/>
          <w:sz w:val="32"/>
          <w:szCs w:val="32"/>
        </w:rPr>
        <w:t>Nanodiscs</w:t>
      </w:r>
    </w:p>
    <w:p w:rsidR="00FB0CCD" w:rsidRPr="00F25E84" w:rsidRDefault="00236FA9" w:rsidP="00FB0CC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Wafa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Ares</w:t>
      </w:r>
      <w:r w:rsidR="00D27884">
        <w:rPr>
          <w:rFonts w:ascii="Times New Roman" w:hAnsi="Times New Roman" w:cs="Times New Roman"/>
          <w:i/>
          <w:sz w:val="24"/>
          <w:szCs w:val="24"/>
        </w:rPr>
        <w:t>h</w:t>
      </w:r>
      <w:r w:rsidR="00D27884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A05621">
        <w:rPr>
          <w:rFonts w:ascii="Times New Roman" w:hAnsi="Times New Roman" w:cs="Times New Roman"/>
          <w:i/>
          <w:sz w:val="24"/>
          <w:szCs w:val="24"/>
        </w:rPr>
        <w:t>, Ying Liu</w:t>
      </w:r>
      <w:r w:rsidR="00A05621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A05621">
        <w:t xml:space="preserve">, </w:t>
      </w:r>
      <w:r w:rsidR="00A05621" w:rsidRPr="00A05621">
        <w:rPr>
          <w:rFonts w:ascii="Times New Roman" w:hAnsi="Times New Roman" w:cs="Times New Roman"/>
          <w:i/>
          <w:sz w:val="24"/>
          <w:szCs w:val="24"/>
        </w:rPr>
        <w:t>Jessica Sine</w:t>
      </w:r>
      <w:r w:rsidR="00A05621" w:rsidRPr="00A05621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A05621" w:rsidRPr="00A05621">
        <w:rPr>
          <w:rFonts w:ascii="Times New Roman" w:hAnsi="Times New Roman" w:cs="Times New Roman"/>
          <w:i/>
          <w:sz w:val="24"/>
          <w:szCs w:val="24"/>
        </w:rPr>
        <w:t>, Derek Thayer</w:t>
      </w:r>
      <w:r w:rsidR="00A05621" w:rsidRPr="00A05621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A05621" w:rsidRPr="00A0562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05621" w:rsidRPr="00A05621">
        <w:rPr>
          <w:rFonts w:ascii="Times New Roman" w:hAnsi="Times New Roman" w:cs="Times New Roman"/>
          <w:i/>
          <w:sz w:val="24"/>
          <w:szCs w:val="24"/>
        </w:rPr>
        <w:t>Anu</w:t>
      </w:r>
      <w:proofErr w:type="spellEnd"/>
      <w:r w:rsidR="00A05621" w:rsidRPr="00A05621">
        <w:rPr>
          <w:rFonts w:ascii="Times New Roman" w:hAnsi="Times New Roman" w:cs="Times New Roman"/>
          <w:i/>
          <w:sz w:val="24"/>
          <w:szCs w:val="24"/>
        </w:rPr>
        <w:t xml:space="preserve"> Puri</w:t>
      </w:r>
      <w:r w:rsidR="00A05621" w:rsidRPr="00A05621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A05621" w:rsidRPr="00A0562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05621" w:rsidRPr="00A05621">
        <w:rPr>
          <w:rFonts w:ascii="Times New Roman" w:hAnsi="Times New Roman" w:cs="Times New Roman"/>
          <w:i/>
          <w:sz w:val="24"/>
          <w:szCs w:val="24"/>
        </w:rPr>
        <w:t>Yike</w:t>
      </w:r>
      <w:proofErr w:type="spellEnd"/>
      <w:r w:rsidR="00A05621" w:rsidRPr="00A05621">
        <w:rPr>
          <w:rFonts w:ascii="Times New Roman" w:hAnsi="Times New Roman" w:cs="Times New Roman"/>
          <w:i/>
          <w:sz w:val="24"/>
          <w:szCs w:val="24"/>
        </w:rPr>
        <w:t xml:space="preserve"> Huang</w:t>
      </w:r>
      <w:r w:rsidR="00A05621" w:rsidRPr="00A05621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="00A05621" w:rsidRPr="00A05621">
        <w:rPr>
          <w:rFonts w:ascii="Times New Roman" w:hAnsi="Times New Roman" w:cs="Times New Roman"/>
          <w:i/>
          <w:sz w:val="24"/>
          <w:szCs w:val="24"/>
        </w:rPr>
        <w:t>, Yong Wang</w:t>
      </w:r>
      <w:r w:rsidR="00A05621" w:rsidRPr="00A05621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="00A05621" w:rsidRPr="00A05621">
        <w:rPr>
          <w:rFonts w:ascii="Times New Roman" w:hAnsi="Times New Roman" w:cs="Times New Roman"/>
          <w:i/>
          <w:sz w:val="24"/>
          <w:szCs w:val="24"/>
        </w:rPr>
        <w:t>,</w:t>
      </w:r>
      <w:r w:rsidR="00A05621" w:rsidRPr="00F25E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7884">
        <w:rPr>
          <w:rFonts w:ascii="Times New Roman" w:hAnsi="Times New Roman" w:cs="Times New Roman"/>
          <w:i/>
          <w:sz w:val="24"/>
          <w:szCs w:val="24"/>
        </w:rPr>
        <w:t>and</w:t>
      </w:r>
      <w:r w:rsidR="00875D6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4EAA">
        <w:rPr>
          <w:rFonts w:ascii="Times New Roman" w:hAnsi="Times New Roman" w:cs="Times New Roman"/>
          <w:i/>
          <w:sz w:val="24"/>
          <w:szCs w:val="24"/>
        </w:rPr>
        <w:t>Mu-Ping Nieh</w:t>
      </w:r>
      <w:r w:rsidR="00D27884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proofErr w:type="gramStart"/>
      <w:r w:rsidR="00D27884">
        <w:rPr>
          <w:rFonts w:ascii="Times New Roman" w:hAnsi="Times New Roman" w:cs="Times New Roman"/>
          <w:i/>
          <w:sz w:val="24"/>
          <w:szCs w:val="24"/>
          <w:vertAlign w:val="superscript"/>
        </w:rPr>
        <w:t>,2,</w:t>
      </w:r>
      <w:r w:rsidR="00A05621">
        <w:rPr>
          <w:rFonts w:ascii="Times New Roman" w:hAnsi="Times New Roman" w:cs="Times New Roman"/>
          <w:i/>
          <w:sz w:val="24"/>
          <w:szCs w:val="24"/>
          <w:vertAlign w:val="superscript"/>
        </w:rPr>
        <w:t>5</w:t>
      </w:r>
      <w:proofErr w:type="gramEnd"/>
      <w:r w:rsidR="00FB0CCD" w:rsidRPr="00F25E84">
        <w:rPr>
          <w:rFonts w:ascii="Times New Roman" w:hAnsi="Times New Roman" w:cs="Times New Roman"/>
          <w:i/>
          <w:sz w:val="24"/>
          <w:szCs w:val="24"/>
          <w:vertAlign w:val="superscript"/>
        </w:rPr>
        <w:t>*</w:t>
      </w:r>
    </w:p>
    <w:p w:rsidR="00FB0CCD" w:rsidRDefault="00FB0CCD" w:rsidP="00FB0CC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25E84">
        <w:rPr>
          <w:rFonts w:ascii="Times New Roman" w:hAnsi="Times New Roman" w:cs="Times New Roman"/>
          <w:i/>
          <w:sz w:val="24"/>
          <w:szCs w:val="24"/>
        </w:rPr>
        <w:t xml:space="preserve">Department of </w:t>
      </w:r>
      <w:r w:rsidR="00D27884">
        <w:rPr>
          <w:rFonts w:ascii="Times New Roman" w:hAnsi="Times New Roman" w:cs="Times New Roman"/>
          <w:i/>
          <w:sz w:val="24"/>
          <w:szCs w:val="24"/>
        </w:rPr>
        <w:t>Biomedical</w:t>
      </w:r>
      <w:r w:rsidR="00D27884" w:rsidRPr="00F25E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25E84">
        <w:rPr>
          <w:rFonts w:ascii="Times New Roman" w:hAnsi="Times New Roman" w:cs="Times New Roman"/>
          <w:i/>
          <w:sz w:val="24"/>
          <w:szCs w:val="24"/>
        </w:rPr>
        <w:t xml:space="preserve">Engineering, University of Connecticut, </w:t>
      </w:r>
      <w:r>
        <w:rPr>
          <w:rFonts w:ascii="Times New Roman" w:hAnsi="Times New Roman" w:cs="Times New Roman"/>
          <w:i/>
          <w:sz w:val="24"/>
          <w:szCs w:val="24"/>
        </w:rPr>
        <w:t xml:space="preserve">Storrs, </w:t>
      </w:r>
      <w:r w:rsidRPr="00F25E84">
        <w:rPr>
          <w:rFonts w:ascii="Times New Roman" w:hAnsi="Times New Roman" w:cs="Times New Roman"/>
          <w:i/>
          <w:sz w:val="24"/>
          <w:szCs w:val="24"/>
        </w:rPr>
        <w:t>CT, US</w:t>
      </w:r>
      <w:r>
        <w:rPr>
          <w:rFonts w:ascii="Times New Roman" w:hAnsi="Times New Roman" w:cs="Times New Roman"/>
          <w:i/>
          <w:sz w:val="24"/>
          <w:szCs w:val="24"/>
        </w:rPr>
        <w:t>A</w:t>
      </w:r>
    </w:p>
    <w:p w:rsidR="00A05621" w:rsidRDefault="00A05621" w:rsidP="00A05621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FB0CCD" w:rsidRPr="00F25E84">
        <w:rPr>
          <w:rFonts w:ascii="Times New Roman" w:hAnsi="Times New Roman" w:cs="Times New Roman"/>
          <w:i/>
          <w:sz w:val="24"/>
          <w:szCs w:val="24"/>
        </w:rPr>
        <w:t xml:space="preserve">Department of </w:t>
      </w:r>
      <w:r w:rsidR="00D27884" w:rsidRPr="00F25E84">
        <w:rPr>
          <w:rFonts w:ascii="Times New Roman" w:hAnsi="Times New Roman" w:cs="Times New Roman"/>
          <w:i/>
          <w:sz w:val="24"/>
          <w:szCs w:val="24"/>
        </w:rPr>
        <w:t xml:space="preserve">Chemical &amp; </w:t>
      </w:r>
      <w:proofErr w:type="spellStart"/>
      <w:r w:rsidR="00D27884" w:rsidRPr="00F25E84">
        <w:rPr>
          <w:rFonts w:ascii="Times New Roman" w:hAnsi="Times New Roman" w:cs="Times New Roman"/>
          <w:i/>
          <w:sz w:val="24"/>
          <w:szCs w:val="24"/>
        </w:rPr>
        <w:t>Biomolecular</w:t>
      </w:r>
      <w:proofErr w:type="spellEnd"/>
      <w:r w:rsidR="00D27884" w:rsidRPr="00F25E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B0CCD" w:rsidRPr="00F25E84">
        <w:rPr>
          <w:rFonts w:ascii="Times New Roman" w:hAnsi="Times New Roman" w:cs="Times New Roman"/>
          <w:i/>
          <w:sz w:val="24"/>
          <w:szCs w:val="24"/>
        </w:rPr>
        <w:t xml:space="preserve">Engineering, University of Connecticut, </w:t>
      </w:r>
      <w:r w:rsidR="00FB0CCD">
        <w:rPr>
          <w:rFonts w:ascii="Times New Roman" w:hAnsi="Times New Roman" w:cs="Times New Roman"/>
          <w:i/>
          <w:sz w:val="24"/>
          <w:szCs w:val="24"/>
        </w:rPr>
        <w:t xml:space="preserve">Storrs, </w:t>
      </w:r>
      <w:r w:rsidR="00FB0CCD" w:rsidRPr="00F25E84">
        <w:rPr>
          <w:rFonts w:ascii="Times New Roman" w:hAnsi="Times New Roman" w:cs="Times New Roman"/>
          <w:i/>
          <w:sz w:val="24"/>
          <w:szCs w:val="24"/>
        </w:rPr>
        <w:t>CT, US</w:t>
      </w:r>
      <w:r w:rsidR="00FB0CCD">
        <w:rPr>
          <w:rFonts w:ascii="Times New Roman" w:hAnsi="Times New Roman" w:cs="Times New Roman"/>
          <w:i/>
          <w:sz w:val="24"/>
          <w:szCs w:val="24"/>
        </w:rPr>
        <w:t>A</w:t>
      </w:r>
    </w:p>
    <w:p w:rsidR="000F02D7" w:rsidRPr="000F02D7" w:rsidRDefault="000F02D7" w:rsidP="000F02D7">
      <w:pPr>
        <w:pStyle w:val="BCAuthorAddress"/>
        <w:spacing w:line="240" w:lineRule="auto"/>
        <w:ind w:left="180" w:hanging="180"/>
        <w:jc w:val="left"/>
        <w:rPr>
          <w:i/>
        </w:rPr>
      </w:pPr>
      <w:r w:rsidRPr="000F02D7">
        <w:rPr>
          <w:i/>
          <w:vertAlign w:val="superscript"/>
        </w:rPr>
        <w:t>3</w:t>
      </w:r>
      <w:r w:rsidRPr="000F02D7">
        <w:rPr>
          <w:i/>
        </w:rPr>
        <w:t>Basic Research Laboratory, Center for Cancer Research, National Cancer Institute, Frederick, MD</w:t>
      </w:r>
      <w:r>
        <w:rPr>
          <w:i/>
        </w:rPr>
        <w:t>,</w:t>
      </w:r>
      <w:r w:rsidRPr="000F02D7">
        <w:rPr>
          <w:i/>
        </w:rPr>
        <w:t xml:space="preserve"> </w:t>
      </w:r>
      <w:r>
        <w:rPr>
          <w:i/>
        </w:rPr>
        <w:t>USA</w:t>
      </w:r>
      <w:r w:rsidRPr="000F02D7">
        <w:rPr>
          <w:i/>
        </w:rPr>
        <w:t xml:space="preserve">      </w:t>
      </w:r>
    </w:p>
    <w:p w:rsidR="000F02D7" w:rsidRPr="000F02D7" w:rsidRDefault="000F02D7" w:rsidP="000F02D7">
      <w:pPr>
        <w:pStyle w:val="BCAuthorAddress"/>
        <w:spacing w:line="240" w:lineRule="auto"/>
        <w:ind w:left="180" w:hanging="180"/>
        <w:jc w:val="left"/>
        <w:rPr>
          <w:i/>
        </w:rPr>
      </w:pPr>
      <w:r w:rsidRPr="000F02D7">
        <w:rPr>
          <w:i/>
          <w:vertAlign w:val="superscript"/>
        </w:rPr>
        <w:t>4</w:t>
      </w:r>
      <w:r w:rsidRPr="000F02D7">
        <w:rPr>
          <w:i/>
        </w:rPr>
        <w:t>Department of Biomedical Engineering, Pennsylvania State University, University Park, PA</w:t>
      </w:r>
      <w:r>
        <w:rPr>
          <w:i/>
        </w:rPr>
        <w:t>,</w:t>
      </w:r>
      <w:r w:rsidRPr="000F02D7">
        <w:rPr>
          <w:i/>
        </w:rPr>
        <w:t xml:space="preserve"> </w:t>
      </w:r>
      <w:r>
        <w:rPr>
          <w:i/>
        </w:rPr>
        <w:t>USA</w:t>
      </w:r>
    </w:p>
    <w:p w:rsidR="000F02D7" w:rsidRPr="000F02D7" w:rsidRDefault="000F02D7" w:rsidP="000F02D7">
      <w:pPr>
        <w:pStyle w:val="BCAuthorAddress"/>
        <w:spacing w:line="240" w:lineRule="auto"/>
        <w:ind w:left="180" w:hanging="180"/>
        <w:jc w:val="left"/>
        <w:rPr>
          <w:i/>
        </w:rPr>
      </w:pPr>
      <w:r w:rsidRPr="000F02D7">
        <w:rPr>
          <w:i/>
          <w:vertAlign w:val="superscript"/>
        </w:rPr>
        <w:t>5</w:t>
      </w:r>
      <w:r w:rsidRPr="000F02D7">
        <w:rPr>
          <w:i/>
        </w:rPr>
        <w:t>Polymer Program, Institute of Materials Science, University of Connecticut, Storrs, CT</w:t>
      </w:r>
      <w:r>
        <w:rPr>
          <w:i/>
        </w:rPr>
        <w:t>, USA</w:t>
      </w:r>
    </w:p>
    <w:p w:rsidR="00FB0CCD" w:rsidRDefault="00FB0CCD" w:rsidP="00FB0CC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B0CCD" w:rsidRPr="0088324B" w:rsidRDefault="00FB0CCD" w:rsidP="00FB0C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24B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8C4FF7" w:rsidRDefault="004E5B8C" w:rsidP="00A05621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The interaction between cells and particles is recently found morphologically and material dependent. In many cases, “spheres” may not be the best candidates for cellular uptake. </w:t>
      </w:r>
      <w:r w:rsidR="002159CB">
        <w:rPr>
          <w:rFonts w:ascii="Times New Roman" w:hAnsi="Times New Roman" w:cs="Times New Roman"/>
          <w:sz w:val="24"/>
          <w:szCs w:val="24"/>
        </w:rPr>
        <w:t xml:space="preserve">In this study, self-assembled nanodiscs </w:t>
      </w:r>
      <w:r w:rsidR="0087387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873873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EE3B1E">
        <w:rPr>
          <w:rFonts w:ascii="Times New Roman" w:hAnsi="Times New Roman" w:cs="Times New Roman"/>
          <w:sz w:val="24"/>
          <w:szCs w:val="24"/>
        </w:rPr>
        <w:t xml:space="preserve">- oblate </w:t>
      </w:r>
      <w:r w:rsidR="00873873">
        <w:rPr>
          <w:rFonts w:ascii="Times New Roman" w:hAnsi="Times New Roman" w:cs="Times New Roman"/>
          <w:sz w:val="24"/>
          <w:szCs w:val="24"/>
        </w:rPr>
        <w:t xml:space="preserve">vesicles </w:t>
      </w:r>
      <w:r w:rsidR="002159CB">
        <w:rPr>
          <w:rFonts w:ascii="Times New Roman" w:hAnsi="Times New Roman" w:cs="Times New Roman"/>
          <w:sz w:val="24"/>
          <w:szCs w:val="24"/>
        </w:rPr>
        <w:t xml:space="preserve">composed of a </w:t>
      </w:r>
      <w:r w:rsidR="00A82692">
        <w:rPr>
          <w:rFonts w:ascii="Times New Roman" w:hAnsi="Times New Roman" w:cs="Times New Roman"/>
          <w:sz w:val="24"/>
          <w:szCs w:val="24"/>
        </w:rPr>
        <w:t>zwitterionic</w:t>
      </w:r>
      <w:r w:rsidR="00A82692">
        <w:rPr>
          <w:rFonts w:ascii="Times New Roman" w:hAnsi="Times New Roman" w:cs="Times New Roman"/>
          <w:sz w:val="24"/>
          <w:szCs w:val="24"/>
        </w:rPr>
        <w:t xml:space="preserve"> </w:t>
      </w:r>
      <w:r w:rsidR="002159CB">
        <w:rPr>
          <w:rFonts w:ascii="Times New Roman" w:hAnsi="Times New Roman" w:cs="Times New Roman"/>
          <w:sz w:val="24"/>
          <w:szCs w:val="24"/>
        </w:rPr>
        <w:t xml:space="preserve">long-chain </w:t>
      </w:r>
      <w:r w:rsidR="00A82692">
        <w:rPr>
          <w:rFonts w:ascii="Times New Roman" w:hAnsi="Times New Roman" w:cs="Times New Roman"/>
          <w:sz w:val="24"/>
          <w:szCs w:val="24"/>
        </w:rPr>
        <w:t>1,2-dihexadecanoyl-</w:t>
      </w:r>
      <w:r w:rsidR="00A82692" w:rsidRPr="00C952D2">
        <w:rPr>
          <w:rFonts w:ascii="Times New Roman" w:hAnsi="Times New Roman" w:cs="Times New Roman"/>
          <w:i/>
          <w:sz w:val="24"/>
          <w:szCs w:val="24"/>
        </w:rPr>
        <w:t>sn</w:t>
      </w:r>
      <w:r w:rsidR="00A82692">
        <w:rPr>
          <w:rFonts w:ascii="Times New Roman" w:hAnsi="Times New Roman" w:cs="Times New Roman"/>
          <w:sz w:val="24"/>
          <w:szCs w:val="24"/>
        </w:rPr>
        <w:t>-3-phosphocholine (DPPC),</w:t>
      </w:r>
      <w:r w:rsidR="00A82692">
        <w:rPr>
          <w:rFonts w:ascii="Times New Roman" w:hAnsi="Times New Roman" w:cs="Times New Roman"/>
          <w:sz w:val="24"/>
          <w:szCs w:val="24"/>
        </w:rPr>
        <w:t xml:space="preserve"> </w:t>
      </w:r>
      <w:r w:rsidR="00A82692">
        <w:rPr>
          <w:rFonts w:ascii="Times New Roman" w:hAnsi="Times New Roman" w:cs="Times New Roman"/>
          <w:sz w:val="24"/>
          <w:szCs w:val="24"/>
        </w:rPr>
        <w:t xml:space="preserve">a </w:t>
      </w:r>
      <w:r w:rsidR="00A82692">
        <w:rPr>
          <w:rFonts w:ascii="Times New Roman" w:hAnsi="Times New Roman" w:cs="Times New Roman"/>
          <w:sz w:val="24"/>
          <w:szCs w:val="24"/>
        </w:rPr>
        <w:t>zwitterionic short chain1,2-dihexanoyl-</w:t>
      </w:r>
      <w:r w:rsidR="00A82692" w:rsidRPr="00C952D2">
        <w:rPr>
          <w:rFonts w:ascii="Times New Roman" w:hAnsi="Times New Roman" w:cs="Times New Roman"/>
          <w:i/>
          <w:sz w:val="24"/>
          <w:szCs w:val="24"/>
        </w:rPr>
        <w:t>sn</w:t>
      </w:r>
      <w:r w:rsidR="00A82692">
        <w:rPr>
          <w:rFonts w:ascii="Times New Roman" w:hAnsi="Times New Roman" w:cs="Times New Roman"/>
          <w:sz w:val="24"/>
          <w:szCs w:val="24"/>
        </w:rPr>
        <w:t>-glycero-3-phosphocholine (DHPC)</w:t>
      </w:r>
      <w:r w:rsidR="00A05621">
        <w:rPr>
          <w:rFonts w:ascii="Times New Roman" w:hAnsi="Times New Roman" w:cs="Times New Roman"/>
          <w:sz w:val="24"/>
          <w:szCs w:val="24"/>
        </w:rPr>
        <w:t xml:space="preserve"> doped with </w:t>
      </w:r>
      <w:r w:rsidR="00873873">
        <w:rPr>
          <w:rFonts w:ascii="Times New Roman" w:hAnsi="Times New Roman" w:cs="Times New Roman"/>
          <w:sz w:val="24"/>
          <w:szCs w:val="24"/>
        </w:rPr>
        <w:t xml:space="preserve">small quantities of </w:t>
      </w:r>
      <w:r w:rsidR="00A82692">
        <w:rPr>
          <w:rFonts w:ascii="Times New Roman" w:hAnsi="Times New Roman" w:cs="Times New Roman"/>
          <w:sz w:val="24"/>
          <w:szCs w:val="24"/>
        </w:rPr>
        <w:t>charged long-</w:t>
      </w:r>
      <w:r w:rsidR="00A82692">
        <w:rPr>
          <w:rFonts w:ascii="Times New Roman" w:hAnsi="Times New Roman" w:cs="Times New Roman"/>
          <w:sz w:val="24"/>
          <w:szCs w:val="24"/>
        </w:rPr>
        <w:t>chain 1,2-dihexahecanoyl-</w:t>
      </w:r>
      <w:r w:rsidR="00A82692" w:rsidRPr="00C952D2">
        <w:rPr>
          <w:rFonts w:ascii="Times New Roman" w:hAnsi="Times New Roman" w:cs="Times New Roman"/>
          <w:i/>
          <w:sz w:val="24"/>
          <w:szCs w:val="24"/>
        </w:rPr>
        <w:t>sn</w:t>
      </w:r>
      <w:r w:rsidR="00A82692">
        <w:rPr>
          <w:rFonts w:ascii="Times New Roman" w:hAnsi="Times New Roman" w:cs="Times New Roman"/>
          <w:sz w:val="24"/>
          <w:szCs w:val="24"/>
        </w:rPr>
        <w:t>-glycero-3-phospho-(1’-rac-glycerol) (DPPG)</w:t>
      </w:r>
      <w:r w:rsidR="00A05621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="00A05621">
        <w:rPr>
          <w:rFonts w:ascii="Times New Roman" w:hAnsi="Times New Roman" w:cs="Times New Roman"/>
          <w:sz w:val="24"/>
          <w:szCs w:val="24"/>
        </w:rPr>
        <w:t>PEGylated</w:t>
      </w:r>
      <w:proofErr w:type="spellEnd"/>
      <w:r w:rsidR="00A05621">
        <w:rPr>
          <w:rFonts w:ascii="Times New Roman" w:hAnsi="Times New Roman" w:cs="Times New Roman"/>
          <w:sz w:val="24"/>
          <w:szCs w:val="24"/>
        </w:rPr>
        <w:t xml:space="preserve"> lipid, </w:t>
      </w:r>
      <w:r w:rsidR="00A05621" w:rsidRPr="00A05621">
        <w:rPr>
          <w:rFonts w:ascii="Times New Roman" w:hAnsi="Times New Roman" w:cs="Times New Roman"/>
          <w:sz w:val="24"/>
          <w:szCs w:val="24"/>
        </w:rPr>
        <w:t>1,2-distearoyl-sn-glycero-3-phosphoethanolamine-N-[methoxy(polyethylene glycol)-2000]</w:t>
      </w:r>
      <w:r w:rsidR="00A05621">
        <w:rPr>
          <w:rFonts w:ascii="Times New Roman" w:hAnsi="Times New Roman" w:cs="Times New Roman"/>
          <w:sz w:val="24"/>
          <w:szCs w:val="24"/>
        </w:rPr>
        <w:t xml:space="preserve"> (DSPE-PEG2000)</w:t>
      </w:r>
      <w:r w:rsidR="00873873">
        <w:rPr>
          <w:rFonts w:ascii="Times New Roman" w:hAnsi="Times New Roman" w:cs="Times New Roman"/>
          <w:sz w:val="24"/>
          <w:szCs w:val="24"/>
        </w:rPr>
        <w:t xml:space="preserve"> were synthesized at the same composition</w:t>
      </w:r>
      <w:r w:rsidR="00A05621">
        <w:rPr>
          <w:rFonts w:ascii="Times New Roman" w:hAnsi="Times New Roman" w:cs="Times New Roman"/>
          <w:sz w:val="24"/>
          <w:szCs w:val="24"/>
        </w:rPr>
        <w:t xml:space="preserve">. </w:t>
      </w:r>
      <w:r w:rsidR="00331ABF">
        <w:rPr>
          <w:rFonts w:ascii="Times New Roman" w:hAnsi="Times New Roman" w:cs="Times New Roman"/>
          <w:sz w:val="24"/>
          <w:szCs w:val="24"/>
        </w:rPr>
        <w:t>Both morphologies are uniform and have similar sizes</w:t>
      </w:r>
      <w:r w:rsidR="00EE3B1E">
        <w:rPr>
          <w:rFonts w:ascii="Times New Roman" w:hAnsi="Times New Roman" w:cs="Times New Roman"/>
          <w:sz w:val="24"/>
          <w:szCs w:val="24"/>
        </w:rPr>
        <w:t>. Small angle neutron scattering data</w:t>
      </w:r>
      <w:r w:rsidR="00A945C6">
        <w:rPr>
          <w:rFonts w:ascii="Times New Roman" w:hAnsi="Times New Roman" w:cs="Times New Roman"/>
          <w:sz w:val="24"/>
          <w:szCs w:val="24"/>
        </w:rPr>
        <w:t xml:space="preserve"> show</w:t>
      </w:r>
      <w:r w:rsidR="00EE3B1E">
        <w:rPr>
          <w:rFonts w:ascii="Times New Roman" w:hAnsi="Times New Roman" w:cs="Times New Roman"/>
          <w:sz w:val="24"/>
          <w:szCs w:val="24"/>
        </w:rPr>
        <w:t xml:space="preserve"> that</w:t>
      </w:r>
      <w:r w:rsidR="00331ABF">
        <w:rPr>
          <w:rFonts w:ascii="Times New Roman" w:hAnsi="Times New Roman" w:cs="Times New Roman"/>
          <w:sz w:val="24"/>
          <w:szCs w:val="24"/>
        </w:rPr>
        <w:t xml:space="preserve"> the average </w:t>
      </w:r>
      <w:r w:rsidR="00EE3B1E">
        <w:rPr>
          <w:rFonts w:ascii="Times New Roman" w:hAnsi="Times New Roman" w:cs="Times New Roman"/>
          <w:sz w:val="24"/>
          <w:szCs w:val="24"/>
        </w:rPr>
        <w:t>diameter</w:t>
      </w:r>
      <w:r w:rsidR="00331ABF">
        <w:rPr>
          <w:rFonts w:ascii="Times New Roman" w:hAnsi="Times New Roman" w:cs="Times New Roman"/>
          <w:sz w:val="24"/>
          <w:szCs w:val="24"/>
        </w:rPr>
        <w:t xml:space="preserve"> and thickness of the </w:t>
      </w:r>
      <w:r w:rsidR="00EE3B1E">
        <w:rPr>
          <w:rFonts w:ascii="Times New Roman" w:hAnsi="Times New Roman" w:cs="Times New Roman"/>
          <w:sz w:val="24"/>
          <w:szCs w:val="24"/>
        </w:rPr>
        <w:t xml:space="preserve">nanodiscs are </w:t>
      </w:r>
      <w:r w:rsidR="00EE3B1E" w:rsidRPr="00EE3B1E">
        <w:rPr>
          <w:rFonts w:ascii="Times New Roman" w:hAnsi="Times New Roman" w:cs="Times New Roman"/>
          <w:sz w:val="24"/>
          <w:szCs w:val="24"/>
        </w:rPr>
        <w:t xml:space="preserve">21.0 and 5.4 nm, </w:t>
      </w:r>
      <w:r w:rsidR="00EE3B1E">
        <w:rPr>
          <w:rFonts w:ascii="Times New Roman" w:hAnsi="Times New Roman" w:cs="Times New Roman"/>
          <w:sz w:val="24"/>
          <w:szCs w:val="24"/>
        </w:rPr>
        <w:t>respectively, and</w:t>
      </w:r>
      <w:r w:rsidR="00EE3B1E" w:rsidRPr="00EE3B1E">
        <w:rPr>
          <w:rFonts w:ascii="Times New Roman" w:hAnsi="Times New Roman" w:cs="Times New Roman"/>
          <w:sz w:val="24"/>
          <w:szCs w:val="24"/>
        </w:rPr>
        <w:t xml:space="preserve"> </w:t>
      </w:r>
      <w:r w:rsidR="00EE3B1E">
        <w:rPr>
          <w:rFonts w:ascii="Times New Roman" w:hAnsi="Times New Roman" w:cs="Times New Roman"/>
          <w:sz w:val="24"/>
          <w:szCs w:val="24"/>
        </w:rPr>
        <w:t xml:space="preserve">that </w:t>
      </w:r>
      <w:r w:rsidR="00EE3B1E" w:rsidRPr="00EE3B1E">
        <w:rPr>
          <w:rFonts w:ascii="Times New Roman" w:hAnsi="Times New Roman" w:cs="Times New Roman"/>
          <w:sz w:val="24"/>
          <w:szCs w:val="24"/>
        </w:rPr>
        <w:t xml:space="preserve">the outer long- and short- axes of the oblate vesicle yield 34.2 and 12.0 nm, </w:t>
      </w:r>
      <w:r w:rsidR="00EE3B1E">
        <w:rPr>
          <w:rFonts w:ascii="Times New Roman" w:hAnsi="Times New Roman" w:cs="Times New Roman"/>
          <w:sz w:val="24"/>
          <w:szCs w:val="24"/>
        </w:rPr>
        <w:t xml:space="preserve">respectively. </w:t>
      </w:r>
      <w:r w:rsidR="00873873">
        <w:rPr>
          <w:rFonts w:ascii="Times New Roman" w:hAnsi="Times New Roman" w:cs="Times New Roman"/>
          <w:sz w:val="24"/>
          <w:szCs w:val="24"/>
        </w:rPr>
        <w:t xml:space="preserve">The </w:t>
      </w:r>
      <w:r w:rsidR="008E75A9">
        <w:rPr>
          <w:rFonts w:ascii="Times New Roman" w:hAnsi="Times New Roman" w:cs="Times New Roman"/>
          <w:sz w:val="24"/>
          <w:szCs w:val="24"/>
        </w:rPr>
        <w:t xml:space="preserve">cellular uptake of these two types of </w:t>
      </w:r>
      <w:proofErr w:type="spellStart"/>
      <w:r w:rsidR="008E75A9">
        <w:rPr>
          <w:rFonts w:ascii="Times New Roman" w:hAnsi="Times New Roman" w:cs="Times New Roman"/>
          <w:sz w:val="24"/>
          <w:szCs w:val="24"/>
        </w:rPr>
        <w:t>Nilered</w:t>
      </w:r>
      <w:proofErr w:type="spellEnd"/>
      <w:r w:rsidR="008E75A9">
        <w:rPr>
          <w:rFonts w:ascii="Times New Roman" w:hAnsi="Times New Roman" w:cs="Times New Roman"/>
          <w:sz w:val="24"/>
          <w:szCs w:val="24"/>
        </w:rPr>
        <w:t xml:space="preserve">-containing </w:t>
      </w:r>
      <w:proofErr w:type="spellStart"/>
      <w:r w:rsidR="008E75A9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8E75A9">
        <w:rPr>
          <w:rFonts w:ascii="Times New Roman" w:hAnsi="Times New Roman" w:cs="Times New Roman"/>
          <w:sz w:val="24"/>
          <w:szCs w:val="24"/>
        </w:rPr>
        <w:t xml:space="preserve"> was</w:t>
      </w:r>
      <w:r w:rsidR="00873873">
        <w:rPr>
          <w:rFonts w:ascii="Times New Roman" w:hAnsi="Times New Roman" w:cs="Times New Roman"/>
          <w:sz w:val="24"/>
          <w:szCs w:val="24"/>
        </w:rPr>
        <w:t xml:space="preserve"> </w:t>
      </w:r>
      <w:r w:rsidR="008E75A9">
        <w:rPr>
          <w:rFonts w:ascii="Times New Roman" w:hAnsi="Times New Roman" w:cs="Times New Roman"/>
          <w:sz w:val="24"/>
          <w:szCs w:val="24"/>
        </w:rPr>
        <w:t xml:space="preserve">investigated as incubated with the lymphoblast cancer cells (CCRF-CEM) at 37 </w:t>
      </w:r>
      <w:proofErr w:type="spellStart"/>
      <w:r w:rsidR="008E75A9" w:rsidRPr="008E75A9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A945C6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A945C6">
        <w:rPr>
          <w:rFonts w:ascii="Times New Roman" w:hAnsi="Times New Roman" w:cs="Times New Roman"/>
          <w:sz w:val="24"/>
          <w:szCs w:val="24"/>
        </w:rPr>
        <w:t xml:space="preserve"> for 2 hours. The result indicates</w:t>
      </w:r>
      <w:r w:rsidR="008E75A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E3B1E">
        <w:rPr>
          <w:rFonts w:ascii="Times New Roman" w:hAnsi="Times New Roman" w:cs="Times New Roman"/>
          <w:sz w:val="24"/>
          <w:szCs w:val="24"/>
        </w:rPr>
        <w:t xml:space="preserve">cellular uptake of nanodiscs is 3 ~ 5 fold of that of the </w:t>
      </w:r>
      <w:proofErr w:type="spellStart"/>
      <w:r w:rsidR="00EE3B1E">
        <w:rPr>
          <w:rFonts w:ascii="Times New Roman" w:hAnsi="Times New Roman" w:cs="Times New Roman"/>
          <w:sz w:val="24"/>
          <w:szCs w:val="24"/>
        </w:rPr>
        <w:t>nanovesicles</w:t>
      </w:r>
      <w:proofErr w:type="spellEnd"/>
      <w:r w:rsidR="00EE3B1E">
        <w:rPr>
          <w:rFonts w:ascii="Times New Roman" w:hAnsi="Times New Roman" w:cs="Times New Roman"/>
          <w:sz w:val="24"/>
          <w:szCs w:val="24"/>
        </w:rPr>
        <w:t xml:space="preserve">. Moreover, the fact that the </w:t>
      </w:r>
      <w:r w:rsidR="00974187">
        <w:rPr>
          <w:rFonts w:ascii="Times New Roman" w:hAnsi="Times New Roman" w:cs="Times New Roman"/>
          <w:sz w:val="24"/>
          <w:szCs w:val="24"/>
        </w:rPr>
        <w:t xml:space="preserve">locations of </w:t>
      </w:r>
      <w:proofErr w:type="spellStart"/>
      <w:r w:rsidR="00974187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EE3B1E">
        <w:rPr>
          <w:rFonts w:ascii="Times New Roman" w:hAnsi="Times New Roman" w:cs="Times New Roman"/>
          <w:sz w:val="24"/>
          <w:szCs w:val="24"/>
        </w:rPr>
        <w:t xml:space="preserve"> </w:t>
      </w:r>
      <w:r w:rsidR="00974187">
        <w:rPr>
          <w:rFonts w:ascii="Times New Roman" w:hAnsi="Times New Roman" w:cs="Times New Roman"/>
          <w:sz w:val="24"/>
          <w:szCs w:val="24"/>
        </w:rPr>
        <w:t xml:space="preserve">are different in </w:t>
      </w:r>
      <w:r w:rsidR="00EE3B1E">
        <w:rPr>
          <w:rFonts w:ascii="Times New Roman" w:hAnsi="Times New Roman" w:cs="Times New Roman"/>
          <w:sz w:val="24"/>
          <w:szCs w:val="24"/>
        </w:rPr>
        <w:t xml:space="preserve">the cells </w:t>
      </w:r>
      <w:r w:rsidR="00A945C6">
        <w:rPr>
          <w:rFonts w:ascii="Times New Roman" w:hAnsi="Times New Roman" w:cs="Times New Roman"/>
          <w:sz w:val="24"/>
          <w:szCs w:val="24"/>
        </w:rPr>
        <w:t>suggests a morphological dependence of cellular uptake mechanism.</w:t>
      </w:r>
    </w:p>
    <w:sectPr w:rsidR="008C4FF7" w:rsidSect="00BE6E38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B63" w:rsidRDefault="00845B63" w:rsidP="00D11512">
      <w:pPr>
        <w:spacing w:after="0" w:line="240" w:lineRule="auto"/>
      </w:pPr>
      <w:r>
        <w:separator/>
      </w:r>
    </w:p>
  </w:endnote>
  <w:endnote w:type="continuationSeparator" w:id="0">
    <w:p w:rsidR="00845B63" w:rsidRDefault="00845B63" w:rsidP="00D11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E2" w:rsidRPr="000A4483" w:rsidRDefault="002639F4" w:rsidP="00FA2FE2">
    <w:pPr>
      <w:pStyle w:val="Footer"/>
    </w:pPr>
    <w:r>
      <w:rPr>
        <w:rFonts w:ascii="Times New Roman" w:hAnsi="Times New Roman" w:cs="Times New Roman"/>
      </w:rPr>
      <w:t>*</w:t>
    </w:r>
    <w:r w:rsidRPr="00FA2FE2">
      <w:rPr>
        <w:rFonts w:ascii="Times New Roman" w:hAnsi="Times New Roman" w:cs="Times New Roman"/>
      </w:rPr>
      <w:t>Mu</w:t>
    </w:r>
    <w:r>
      <w:rPr>
        <w:rFonts w:ascii="Times New Roman" w:hAnsi="Times New Roman" w:cs="Times New Roman"/>
      </w:rPr>
      <w:t>-P</w:t>
    </w:r>
    <w:r w:rsidRPr="00FA2FE2">
      <w:rPr>
        <w:rFonts w:ascii="Times New Roman" w:hAnsi="Times New Roman" w:cs="Times New Roman"/>
      </w:rPr>
      <w:t xml:space="preserve">ing </w:t>
    </w:r>
    <w:proofErr w:type="spellStart"/>
    <w:r w:rsidRPr="00FA2FE2">
      <w:rPr>
        <w:rFonts w:ascii="Times New Roman" w:hAnsi="Times New Roman" w:cs="Times New Roman"/>
      </w:rPr>
      <w:t>Nieh</w:t>
    </w:r>
    <w:proofErr w:type="spellEnd"/>
    <w:r w:rsidRPr="00FA2FE2">
      <w:rPr>
        <w:rFonts w:ascii="Times New Roman" w:hAnsi="Times New Roman" w:cs="Times New Roman"/>
      </w:rPr>
      <w:t xml:space="preserve">. Email: </w:t>
    </w:r>
    <w:r w:rsidRPr="00EE4B24">
      <w:rPr>
        <w:rFonts w:ascii="Times New Roman" w:hAnsi="Times New Roman" w:cs="Times New Roman"/>
        <w:shd w:val="clear" w:color="auto" w:fill="FFFFFF"/>
      </w:rPr>
      <w:t>mu-ping.nieh@ims.uconn.edu</w:t>
    </w:r>
  </w:p>
  <w:p w:rsidR="00FA2FE2" w:rsidRDefault="00845B63">
    <w:pPr>
      <w:pStyle w:val="Footer"/>
    </w:pPr>
  </w:p>
  <w:p w:rsidR="00FA2FE2" w:rsidRDefault="00845B6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B63" w:rsidRDefault="00845B63" w:rsidP="00D11512">
      <w:pPr>
        <w:spacing w:after="0" w:line="240" w:lineRule="auto"/>
      </w:pPr>
      <w:r>
        <w:separator/>
      </w:r>
    </w:p>
  </w:footnote>
  <w:footnote w:type="continuationSeparator" w:id="0">
    <w:p w:rsidR="00845B63" w:rsidRDefault="00845B63" w:rsidP="00D115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C1A57"/>
    <w:rsid w:val="00090484"/>
    <w:rsid w:val="000F02D7"/>
    <w:rsid w:val="002159CB"/>
    <w:rsid w:val="00236FA9"/>
    <w:rsid w:val="002639F4"/>
    <w:rsid w:val="002E6320"/>
    <w:rsid w:val="00331ABF"/>
    <w:rsid w:val="003878AA"/>
    <w:rsid w:val="00393757"/>
    <w:rsid w:val="003B5C94"/>
    <w:rsid w:val="004768C1"/>
    <w:rsid w:val="004E5B8C"/>
    <w:rsid w:val="00503215"/>
    <w:rsid w:val="005440C3"/>
    <w:rsid w:val="00644EAA"/>
    <w:rsid w:val="00686863"/>
    <w:rsid w:val="006B3AC4"/>
    <w:rsid w:val="006D7C86"/>
    <w:rsid w:val="007E6105"/>
    <w:rsid w:val="00845B63"/>
    <w:rsid w:val="00873873"/>
    <w:rsid w:val="00875D67"/>
    <w:rsid w:val="008E75A9"/>
    <w:rsid w:val="00953C0D"/>
    <w:rsid w:val="00974187"/>
    <w:rsid w:val="00A05621"/>
    <w:rsid w:val="00A82692"/>
    <w:rsid w:val="00A945C6"/>
    <w:rsid w:val="00BC20C3"/>
    <w:rsid w:val="00CC1A57"/>
    <w:rsid w:val="00D11512"/>
    <w:rsid w:val="00D13B4E"/>
    <w:rsid w:val="00D27884"/>
    <w:rsid w:val="00D4300B"/>
    <w:rsid w:val="00D947B1"/>
    <w:rsid w:val="00DE4920"/>
    <w:rsid w:val="00EE3B1E"/>
    <w:rsid w:val="00EE5312"/>
    <w:rsid w:val="00EF069F"/>
    <w:rsid w:val="00EF42CA"/>
    <w:rsid w:val="00FB0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B0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CCD"/>
  </w:style>
  <w:style w:type="paragraph" w:styleId="Header">
    <w:name w:val="header"/>
    <w:basedOn w:val="Normal"/>
    <w:link w:val="HeaderChar"/>
    <w:uiPriority w:val="99"/>
    <w:semiHidden/>
    <w:unhideWhenUsed/>
    <w:rsid w:val="00D27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7884"/>
  </w:style>
  <w:style w:type="paragraph" w:customStyle="1" w:styleId="BCAuthorAddress">
    <w:name w:val="BC_Author_Address"/>
    <w:basedOn w:val="Normal"/>
    <w:next w:val="Normal"/>
    <w:rsid w:val="000F02D7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 Xia</dc:creator>
  <cp:lastModifiedBy>Mu-Ping</cp:lastModifiedBy>
  <cp:revision>7</cp:revision>
  <dcterms:created xsi:type="dcterms:W3CDTF">2014-05-11T14:08:00Z</dcterms:created>
  <dcterms:modified xsi:type="dcterms:W3CDTF">2014-05-11T16:06:00Z</dcterms:modified>
</cp:coreProperties>
</file>