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75D" w:rsidRDefault="005D175D" w:rsidP="005D175D">
      <w:pPr>
        <w:pStyle w:val="MMBSectionHeading"/>
        <w:jc w:val="center"/>
        <w:rPr>
          <w:szCs w:val="24"/>
        </w:rPr>
      </w:pPr>
      <w:r>
        <w:rPr>
          <w:szCs w:val="24"/>
        </w:rPr>
        <w:t>AICHE Fall Meeting 2014</w:t>
      </w:r>
    </w:p>
    <w:p w:rsidR="005D175D" w:rsidRDefault="005D175D" w:rsidP="005D175D">
      <w:pPr>
        <w:pStyle w:val="MMBSectionHeading"/>
        <w:jc w:val="center"/>
        <w:rPr>
          <w:szCs w:val="24"/>
        </w:rPr>
      </w:pPr>
    </w:p>
    <w:p w:rsidR="005D175D" w:rsidRPr="00CA5AA3" w:rsidRDefault="005D175D" w:rsidP="005D175D">
      <w:pPr>
        <w:pStyle w:val="MMBSectionHeading"/>
        <w:jc w:val="center"/>
        <w:rPr>
          <w:szCs w:val="24"/>
        </w:rPr>
      </w:pPr>
      <w:r w:rsidRPr="00CA5AA3">
        <w:rPr>
          <w:szCs w:val="24"/>
        </w:rPr>
        <w:t>Abstract</w:t>
      </w:r>
    </w:p>
    <w:p w:rsidR="005D175D" w:rsidRPr="00CA5AA3" w:rsidRDefault="005D175D" w:rsidP="005D175D">
      <w:pPr>
        <w:pStyle w:val="MMBSectionHeading"/>
        <w:rPr>
          <w:bCs/>
          <w:szCs w:val="24"/>
        </w:rPr>
      </w:pPr>
    </w:p>
    <w:p w:rsidR="005D175D" w:rsidRDefault="005D175D" w:rsidP="005D175D">
      <w:pPr>
        <w:pStyle w:val="Default"/>
        <w:spacing w:line="480" w:lineRule="auto"/>
        <w:jc w:val="both"/>
      </w:pPr>
      <w:r w:rsidRPr="00CA5AA3">
        <w:t xml:space="preserve">Light emitting and </w:t>
      </w:r>
      <w:r>
        <w:t>o</w:t>
      </w:r>
      <w:r w:rsidRPr="00CA5AA3">
        <w:t xml:space="preserve">rganic light emitting diodes are </w:t>
      </w:r>
      <w:r w:rsidRPr="00CA5AA3">
        <w:rPr>
          <w:bCs/>
        </w:rPr>
        <w:t xml:space="preserve">a fascinating area of research and have attracted a large amount of interest because of </w:t>
      </w:r>
      <w:r w:rsidRPr="00CA5AA3">
        <w:rPr>
          <w:rFonts w:cs="Times-Roman"/>
          <w:lang w:bidi="or-IN"/>
        </w:rPr>
        <w:t>their use in high efficiency lighting</w:t>
      </w:r>
      <w:r w:rsidRPr="00CA5AA3">
        <w:rPr>
          <w:rFonts w:cs="Times-Roman"/>
          <w:vertAlign w:val="superscript"/>
          <w:lang w:bidi="or-IN"/>
        </w:rPr>
        <w:t>1-3</w:t>
      </w:r>
      <w:r w:rsidRPr="00CA5AA3">
        <w:rPr>
          <w:rFonts w:cs="Times-Roman"/>
          <w:lang w:bidi="or-IN"/>
        </w:rPr>
        <w:t xml:space="preserve">. In the present work, we mainly focus on </w:t>
      </w:r>
      <w:r w:rsidRPr="00CA5AA3">
        <w:t>three main technical objectives relevant to the engineering of new materials for hybrid light organic-inorganic Quantum Dot LEDs. First, we emphasize on the synthesis of novel colloidal quantum dots (</w:t>
      </w:r>
      <w:r>
        <w:t xml:space="preserve">CdSe and </w:t>
      </w:r>
      <w:proofErr w:type="spellStart"/>
      <w:r>
        <w:t>ZnSe</w:t>
      </w:r>
      <w:proofErr w:type="spellEnd"/>
      <w:r>
        <w:t xml:space="preserve"> </w:t>
      </w:r>
      <w:r w:rsidRPr="00CA5AA3">
        <w:t xml:space="preserve">QDs) to use with functionalized conducting polymers in the creation of hybrid OLEDs. This objective will explore the critical role of the polymer/quantum dot interface and its ultimate role in device efficiency. Our second aim is focused onto the exploration of spin coating and inkjet deposition to lay down the quantum dot and polymer layers in discrete layers to produce light and finally we have explored the possible economical ways of integration and characterization of these novel materials into an active lighting device structure. </w:t>
      </w:r>
    </w:p>
    <w:p w:rsidR="005D175D" w:rsidRDefault="005D175D" w:rsidP="005D175D">
      <w:pPr>
        <w:pStyle w:val="Default"/>
        <w:spacing w:line="480" w:lineRule="auto"/>
        <w:jc w:val="both"/>
      </w:pPr>
    </w:p>
    <w:p w:rsidR="005D175D" w:rsidRDefault="005D175D" w:rsidP="005D175D">
      <w:pPr>
        <w:pStyle w:val="MMBSectionHeading"/>
        <w:tabs>
          <w:tab w:val="left" w:pos="180"/>
        </w:tabs>
        <w:jc w:val="center"/>
        <w:rPr>
          <w:szCs w:val="24"/>
        </w:rPr>
      </w:pPr>
      <w:r w:rsidRPr="00070E4E">
        <w:rPr>
          <w:szCs w:val="24"/>
        </w:rPr>
        <w:t>REFERENCES</w:t>
      </w:r>
    </w:p>
    <w:p w:rsidR="005D175D" w:rsidRPr="00070E4E" w:rsidRDefault="005D175D" w:rsidP="005D175D">
      <w:pPr>
        <w:pStyle w:val="MMBSectionHeading"/>
        <w:rPr>
          <w:szCs w:val="24"/>
        </w:rPr>
      </w:pPr>
    </w:p>
    <w:p w:rsidR="005D175D" w:rsidRPr="00CA5AA3" w:rsidRDefault="005D175D" w:rsidP="005D175D">
      <w:pPr>
        <w:pStyle w:val="MMBReference"/>
        <w:rPr>
          <w:noProof/>
          <w:sz w:val="24"/>
          <w:szCs w:val="24"/>
        </w:rPr>
      </w:pPr>
      <w:r w:rsidRPr="00CA5AA3">
        <w:rPr>
          <w:sz w:val="24"/>
          <w:szCs w:val="24"/>
        </w:rPr>
        <w:t>[1]</w:t>
      </w:r>
      <w:r w:rsidRPr="00CA5AA3">
        <w:rPr>
          <w:noProof/>
          <w:sz w:val="24"/>
          <w:szCs w:val="24"/>
        </w:rPr>
        <w:t xml:space="preserve"> J. Kido, M. Kimura, K. Nagai, “Multilayer white light-emitting organic electroluminescent device</w:t>
      </w:r>
      <w:r>
        <w:rPr>
          <w:noProof/>
          <w:sz w:val="24"/>
          <w:szCs w:val="24"/>
        </w:rPr>
        <w:t>,</w:t>
      </w:r>
      <w:r w:rsidRPr="00CA5AA3">
        <w:rPr>
          <w:noProof/>
          <w:sz w:val="24"/>
          <w:szCs w:val="24"/>
        </w:rPr>
        <w:t xml:space="preserve">” </w:t>
      </w:r>
      <w:r w:rsidRPr="00CA5AA3">
        <w:rPr>
          <w:i/>
          <w:noProof/>
          <w:sz w:val="24"/>
          <w:szCs w:val="24"/>
        </w:rPr>
        <w:t>Science,</w:t>
      </w:r>
      <w:r w:rsidRPr="00CA5AA3">
        <w:rPr>
          <w:noProof/>
          <w:sz w:val="24"/>
          <w:szCs w:val="24"/>
        </w:rPr>
        <w:t xml:space="preserve"> vol 267, </w:t>
      </w:r>
      <w:r w:rsidRPr="00CA5AA3">
        <w:rPr>
          <w:b/>
          <w:noProof/>
          <w:sz w:val="24"/>
          <w:szCs w:val="24"/>
        </w:rPr>
        <w:t xml:space="preserve"> </w:t>
      </w:r>
      <w:r w:rsidRPr="00CA5AA3">
        <w:rPr>
          <w:noProof/>
          <w:sz w:val="24"/>
          <w:szCs w:val="24"/>
        </w:rPr>
        <w:t>pp</w:t>
      </w:r>
      <w:r w:rsidRPr="00CA5AA3">
        <w:rPr>
          <w:b/>
          <w:noProof/>
          <w:sz w:val="24"/>
          <w:szCs w:val="24"/>
        </w:rPr>
        <w:t>.</w:t>
      </w:r>
      <w:r>
        <w:rPr>
          <w:b/>
          <w:noProof/>
          <w:sz w:val="24"/>
          <w:szCs w:val="24"/>
        </w:rPr>
        <w:t xml:space="preserve"> </w:t>
      </w:r>
      <w:r w:rsidRPr="00CA5AA3">
        <w:rPr>
          <w:noProof/>
          <w:sz w:val="24"/>
          <w:szCs w:val="24"/>
        </w:rPr>
        <w:t xml:space="preserve">1332-1334, 1995. </w:t>
      </w:r>
    </w:p>
    <w:p w:rsidR="005D175D" w:rsidRPr="00CA5AA3" w:rsidRDefault="005D175D" w:rsidP="005D175D">
      <w:pPr>
        <w:pStyle w:val="MMBReference"/>
        <w:rPr>
          <w:noProof/>
          <w:sz w:val="24"/>
          <w:szCs w:val="24"/>
        </w:rPr>
      </w:pPr>
      <w:r w:rsidRPr="00CA5AA3">
        <w:rPr>
          <w:noProof/>
          <w:sz w:val="24"/>
          <w:szCs w:val="24"/>
        </w:rPr>
        <w:t xml:space="preserve">[2] W. Ki, J. Li, “A semiconductor bulk material that emits direct white light”, </w:t>
      </w:r>
      <w:r w:rsidRPr="00CA5AA3">
        <w:rPr>
          <w:i/>
          <w:noProof/>
          <w:sz w:val="24"/>
          <w:szCs w:val="24"/>
        </w:rPr>
        <w:t>Journal of the American Chemical Society,</w:t>
      </w:r>
      <w:r w:rsidRPr="00CA5AA3">
        <w:rPr>
          <w:noProof/>
          <w:sz w:val="24"/>
          <w:szCs w:val="24"/>
        </w:rPr>
        <w:t xml:space="preserve"> vol</w:t>
      </w:r>
      <w:r w:rsidRPr="00CA5AA3">
        <w:rPr>
          <w:b/>
          <w:noProof/>
          <w:sz w:val="24"/>
          <w:szCs w:val="24"/>
        </w:rPr>
        <w:t xml:space="preserve">  </w:t>
      </w:r>
      <w:r w:rsidRPr="00CA5AA3">
        <w:rPr>
          <w:i/>
          <w:noProof/>
          <w:sz w:val="24"/>
          <w:szCs w:val="24"/>
        </w:rPr>
        <w:t>130</w:t>
      </w:r>
      <w:r w:rsidRPr="00CA5AA3">
        <w:rPr>
          <w:noProof/>
          <w:sz w:val="24"/>
          <w:szCs w:val="24"/>
        </w:rPr>
        <w:t>, pp. 8114, 2008.</w:t>
      </w:r>
    </w:p>
    <w:p w:rsidR="005D175D" w:rsidRPr="00CA5AA3" w:rsidRDefault="005D175D" w:rsidP="005D175D">
      <w:pPr>
        <w:pStyle w:val="MMBReference"/>
        <w:rPr>
          <w:sz w:val="24"/>
          <w:szCs w:val="24"/>
        </w:rPr>
      </w:pPr>
      <w:r w:rsidRPr="00CA5AA3">
        <w:rPr>
          <w:noProof/>
          <w:sz w:val="24"/>
          <w:szCs w:val="24"/>
        </w:rPr>
        <w:t xml:space="preserve">[3] </w:t>
      </w:r>
      <w:r w:rsidRPr="00CA5AA3">
        <w:rPr>
          <w:rFonts w:eastAsia="Times"/>
          <w:noProof/>
          <w:sz w:val="24"/>
          <w:szCs w:val="24"/>
        </w:rPr>
        <w:t xml:space="preserve">H. J. Bolink, H. Brine, E. Coronado, M. Sessolo, “Ionically Assisted Charge Injection in Hybrid Organic-Inorganic Light-Emitting Diodes”, </w:t>
      </w:r>
      <w:r w:rsidRPr="00CA5AA3">
        <w:rPr>
          <w:rFonts w:eastAsia="Times"/>
          <w:i/>
          <w:noProof/>
          <w:sz w:val="24"/>
          <w:szCs w:val="24"/>
        </w:rPr>
        <w:t>ACS Applied Materials &amp; Interfaces,</w:t>
      </w:r>
      <w:r>
        <w:rPr>
          <w:rFonts w:eastAsia="Times"/>
          <w:i/>
          <w:noProof/>
          <w:sz w:val="24"/>
          <w:szCs w:val="24"/>
        </w:rPr>
        <w:t xml:space="preserve"> </w:t>
      </w:r>
      <w:r w:rsidRPr="00CA5AA3">
        <w:rPr>
          <w:rFonts w:eastAsia="Times"/>
          <w:noProof/>
          <w:sz w:val="24"/>
          <w:szCs w:val="24"/>
        </w:rPr>
        <w:t>vol. 2, pp.  2694-2698, 2010.</w:t>
      </w:r>
    </w:p>
    <w:p w:rsidR="005D175D" w:rsidRPr="00D15A13" w:rsidRDefault="005D175D" w:rsidP="005D175D">
      <w:pPr>
        <w:pStyle w:val="Default"/>
        <w:spacing w:line="480" w:lineRule="auto"/>
        <w:jc w:val="both"/>
      </w:pPr>
      <w:bookmarkStart w:id="0" w:name="_GoBack"/>
      <w:bookmarkEnd w:id="0"/>
    </w:p>
    <w:p w:rsidR="00561FFA" w:rsidRDefault="00561FFA"/>
    <w:sectPr w:rsidR="00561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75D"/>
    <w:rsid w:val="001517E5"/>
    <w:rsid w:val="00561FFA"/>
    <w:rsid w:val="005D175D"/>
    <w:rsid w:val="00B31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MBSectionHeading">
    <w:name w:val="MMB Section Heading"/>
    <w:basedOn w:val="Normal"/>
    <w:rsid w:val="005D175D"/>
    <w:pPr>
      <w:widowControl w:val="0"/>
      <w:tabs>
        <w:tab w:val="left" w:pos="360"/>
      </w:tabs>
      <w:autoSpaceDE w:val="0"/>
      <w:autoSpaceDN w:val="0"/>
      <w:adjustRightInd w:val="0"/>
      <w:spacing w:after="0" w:line="240" w:lineRule="auto"/>
      <w:jc w:val="both"/>
    </w:pPr>
    <w:rPr>
      <w:rFonts w:ascii="Times New Roman" w:eastAsia="Times New Roman" w:hAnsi="Times New Roman" w:cs="Times New Roman"/>
      <w:b/>
      <w:caps/>
      <w:sz w:val="24"/>
      <w:szCs w:val="20"/>
    </w:rPr>
  </w:style>
  <w:style w:type="paragraph" w:customStyle="1" w:styleId="Default">
    <w:name w:val="Default"/>
    <w:rsid w:val="005D175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MBReference">
    <w:name w:val="MMB Reference"/>
    <w:basedOn w:val="Normal"/>
    <w:rsid w:val="005D175D"/>
    <w:pPr>
      <w:widowControl w:val="0"/>
      <w:autoSpaceDE w:val="0"/>
      <w:autoSpaceDN w:val="0"/>
      <w:adjustRightInd w:val="0"/>
      <w:spacing w:after="0" w:line="240" w:lineRule="auto"/>
      <w:ind w:left="360" w:hanging="360"/>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MBSectionHeading">
    <w:name w:val="MMB Section Heading"/>
    <w:basedOn w:val="Normal"/>
    <w:rsid w:val="005D175D"/>
    <w:pPr>
      <w:widowControl w:val="0"/>
      <w:tabs>
        <w:tab w:val="left" w:pos="360"/>
      </w:tabs>
      <w:autoSpaceDE w:val="0"/>
      <w:autoSpaceDN w:val="0"/>
      <w:adjustRightInd w:val="0"/>
      <w:spacing w:after="0" w:line="240" w:lineRule="auto"/>
      <w:jc w:val="both"/>
    </w:pPr>
    <w:rPr>
      <w:rFonts w:ascii="Times New Roman" w:eastAsia="Times New Roman" w:hAnsi="Times New Roman" w:cs="Times New Roman"/>
      <w:b/>
      <w:caps/>
      <w:sz w:val="24"/>
      <w:szCs w:val="20"/>
    </w:rPr>
  </w:style>
  <w:style w:type="paragraph" w:customStyle="1" w:styleId="Default">
    <w:name w:val="Default"/>
    <w:rsid w:val="005D175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MBReference">
    <w:name w:val="MMB Reference"/>
    <w:basedOn w:val="Normal"/>
    <w:rsid w:val="005D175D"/>
    <w:pPr>
      <w:widowControl w:val="0"/>
      <w:autoSpaceDE w:val="0"/>
      <w:autoSpaceDN w:val="0"/>
      <w:adjustRightInd w:val="0"/>
      <w:spacing w:after="0" w:line="240" w:lineRule="auto"/>
      <w:ind w:left="360" w:hanging="360"/>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Amos,Delaina A.</dc:creator>
  <cp:lastModifiedBy>Amos,Delaina A.</cp:lastModifiedBy>
  <cp:revision>1</cp:revision>
  <dcterms:created xsi:type="dcterms:W3CDTF">2014-05-12T20:26:00Z</dcterms:created>
  <dcterms:modified xsi:type="dcterms:W3CDTF">2014-05-12T20:28:00Z</dcterms:modified>
</cp:coreProperties>
</file>