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B1" w:rsidRDefault="009805B1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Prediction of energetic – energetic cocrystal forms and their competition with solvate formation</w:t>
      </w:r>
    </w:p>
    <w:p w:rsidR="00C421E0" w:rsidRDefault="00C421E0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</w:p>
    <w:p w:rsidR="00C421E0" w:rsidRPr="00C421E0" w:rsidRDefault="00C421E0" w:rsidP="00C421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  <w:r w:rsidRPr="00C421E0">
        <w:rPr>
          <w:rFonts w:ascii="Courier New" w:eastAsia="Times New Roman" w:hAnsi="Courier New" w:cs="Courier New"/>
          <w:sz w:val="20"/>
          <w:szCs w:val="20"/>
          <w:lang w:eastAsia="de-DE"/>
        </w:rPr>
        <w:t>David am Ende, Andreas Klamt, Ch</w:t>
      </w:r>
      <w:r>
        <w:rPr>
          <w:rFonts w:ascii="Courier New" w:eastAsia="Times New Roman" w:hAnsi="Courier New" w:cs="Courier New"/>
          <w:sz w:val="20"/>
          <w:szCs w:val="20"/>
          <w:lang w:eastAsia="de-DE"/>
        </w:rPr>
        <w:t>r</w:t>
      </w:r>
      <w:r w:rsidRPr="00C421E0">
        <w:rPr>
          <w:rFonts w:ascii="Courier New" w:eastAsia="Times New Roman" w:hAnsi="Courier New" w:cs="Courier New"/>
          <w:sz w:val="20"/>
          <w:szCs w:val="20"/>
          <w:lang w:eastAsia="de-DE"/>
        </w:rPr>
        <w:t>istoph Loschen</w:t>
      </w:r>
    </w:p>
    <w:p w:rsidR="009805B1" w:rsidRPr="00C421E0" w:rsidRDefault="009805B1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de-DE"/>
        </w:rPr>
      </w:pPr>
    </w:p>
    <w:p w:rsidR="009805B1" w:rsidRDefault="009805B1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  <w:proofErr w:type="spellStart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Cocrystallization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has attracted increased interest as an alternative pathway for the reliable and reproducible</w:t>
      </w:r>
      <w:r w:rsidR="00DE108A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formulation</w:t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of pharmaceutical actives, with the additional advantage of having influence on the final bioavailability by th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>e</w:t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right choice of the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coformer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.</w:t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begin"/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  <w:instrText xml:space="preserve"> REF _Ref387648462 \r \h </w:instrText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separate"/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  <w:t>[1]</w:t>
      </w:r>
      <w:r w:rsidR="007034C5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end"/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>The COSMO-RS method in its COSMO</w:t>
      </w:r>
      <w:r w:rsidR="00C421E0" w:rsidRPr="00DE108A">
        <w:rPr>
          <w:rFonts w:ascii="Courier New" w:eastAsia="Times New Roman" w:hAnsi="Courier New" w:cs="Courier New"/>
          <w:i/>
          <w:sz w:val="20"/>
          <w:szCs w:val="20"/>
          <w:lang w:val="en-US" w:eastAsia="de-DE"/>
        </w:rPr>
        <w:t>therm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and </w:t>
      </w:r>
      <w:proofErr w:type="spellStart"/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>COSMO</w:t>
      </w:r>
      <w:r w:rsidR="00C421E0" w:rsidRPr="00DE108A">
        <w:rPr>
          <w:rFonts w:ascii="Courier New" w:eastAsia="Times New Roman" w:hAnsi="Courier New" w:cs="Courier New"/>
          <w:i/>
          <w:sz w:val="20"/>
          <w:szCs w:val="20"/>
          <w:lang w:val="en-US" w:eastAsia="de-DE"/>
        </w:rPr>
        <w:t>quick</w:t>
      </w:r>
      <w:proofErr w:type="spellEnd"/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implementations ha</w:t>
      </w:r>
      <w:r w:rsidR="00CF16A1">
        <w:rPr>
          <w:rFonts w:ascii="Courier New" w:eastAsia="Times New Roman" w:hAnsi="Courier New" w:cs="Courier New"/>
          <w:sz w:val="20"/>
          <w:szCs w:val="20"/>
          <w:lang w:val="en-US" w:eastAsia="de-DE"/>
        </w:rPr>
        <w:t>s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been demonstrated to be able to guide the choice of promising coformers by the prediction of the relative probability that a coformer forms a cocrystal with a given active</w:t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. In addition, it was shown that 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a quantitative estimate of the solubility of the resulting </w:t>
      </w:r>
      <w:proofErr w:type="spellStart"/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>cocrystal</w:t>
      </w:r>
      <w:proofErr w:type="spellEnd"/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can be obtained.</w:t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begin"/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instrText xml:space="preserve"> REF _Ref387648487 \r \h </w:instrText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separate"/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t>[2]</w:t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fldChar w:fldCharType="end"/>
      </w:r>
      <w:r w:rsidR="00C13469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</w:t>
      </w:r>
      <w:r w:rsidR="00C421E0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. </w:t>
      </w:r>
    </w:p>
    <w:p w:rsidR="009805B1" w:rsidRDefault="009805B1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</w:p>
    <w:p w:rsidR="00C421E0" w:rsidRDefault="00C421E0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In this presentation we will demonstrate that the same approach also works as a useful guide for </w:t>
      </w:r>
      <w:r w:rsidR="00BB0F8D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the </w:t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development of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cocrystals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of energetic compounds. Furthermore it will </w:t>
      </w:r>
      <w:r w:rsidR="00DE108A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be </w:t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demonstrated that </w:t>
      </w:r>
      <w:proofErr w:type="spellStart"/>
      <w:r w:rsidR="00DE108A">
        <w:rPr>
          <w:rFonts w:ascii="Courier New" w:eastAsia="Times New Roman" w:hAnsi="Courier New" w:cs="Courier New"/>
          <w:sz w:val="20"/>
          <w:szCs w:val="20"/>
          <w:lang w:val="en-US" w:eastAsia="de-DE"/>
        </w:rPr>
        <w:t>COSMO</w:t>
      </w:r>
      <w:r w:rsidR="00DE108A" w:rsidRPr="00DE108A">
        <w:rPr>
          <w:rFonts w:ascii="Courier New" w:eastAsia="Times New Roman" w:hAnsi="Courier New" w:cs="Courier New"/>
          <w:i/>
          <w:sz w:val="20"/>
          <w:szCs w:val="20"/>
          <w:lang w:val="en-US" w:eastAsia="de-DE"/>
        </w:rPr>
        <w:t>therm</w:t>
      </w:r>
      <w:proofErr w:type="spellEnd"/>
      <w:r w:rsidR="00DE108A" w:rsidRPr="009805B1">
        <w:rPr>
          <w:rFonts w:ascii="Courier New" w:eastAsia="Times New Roman" w:hAnsi="Courier New" w:cs="Courier New"/>
          <w:sz w:val="20"/>
          <w:szCs w:val="20"/>
          <w:lang w:val="en-US" w:eastAsia="de-DE"/>
        </w:rPr>
        <w:t xml:space="preserve"> </w:t>
      </w:r>
      <w:r w:rsidRPr="009805B1">
        <w:rPr>
          <w:rFonts w:ascii="Courier New" w:eastAsia="Times New Roman" w:hAnsi="Courier New" w:cs="Courier New"/>
          <w:sz w:val="20"/>
          <w:szCs w:val="20"/>
          <w:lang w:val="en-US" w:eastAsia="de-DE"/>
        </w:rPr>
        <w:t>can be used to identify preferred solvents and solvent mixtures suitable for isolating the cocrystal while avoiding strong solvate formation</w:t>
      </w:r>
      <w:r>
        <w:rPr>
          <w:rFonts w:ascii="Courier New" w:eastAsia="Times New Roman" w:hAnsi="Courier New" w:cs="Courier New"/>
          <w:sz w:val="20"/>
          <w:szCs w:val="20"/>
          <w:lang w:val="en-US" w:eastAsia="de-DE"/>
        </w:rPr>
        <w:t>.</w:t>
      </w:r>
    </w:p>
    <w:p w:rsidR="00C421E0" w:rsidRDefault="00C421E0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</w:p>
    <w:p w:rsidR="00DE108A" w:rsidRDefault="00DE108A" w:rsidP="0098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</w:p>
    <w:p w:rsidR="00DE108A" w:rsidRPr="00DE108A" w:rsidRDefault="00DE108A" w:rsidP="00DE108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de-DE"/>
        </w:rPr>
      </w:pPr>
      <w:bookmarkStart w:id="0" w:name="_Ref387648462"/>
      <w:proofErr w:type="spellStart"/>
      <w:r w:rsidRPr="00DE108A">
        <w:rPr>
          <w:rFonts w:ascii="Times New Roman" w:eastAsia="Times New Roman" w:hAnsi="Times New Roman"/>
          <w:sz w:val="24"/>
          <w:szCs w:val="24"/>
          <w:shd w:val="clear" w:color="auto" w:fill="3399FF"/>
          <w:lang w:val="en-US" w:eastAsia="de-DE"/>
        </w:rPr>
        <w:t>Blagden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, N.; de </w:t>
      </w:r>
      <w:proofErr w:type="spellStart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>Matas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, M.; Gavan, P. and York, P. crystal engineering of active pharmaceutical ingredients to improve solubility and dissolution rates. </w:t>
      </w:r>
      <w:proofErr w:type="spellStart"/>
      <w:r w:rsidRPr="00DE108A">
        <w:rPr>
          <w:rFonts w:ascii="Times New Roman" w:eastAsia="Times New Roman" w:hAnsi="Times New Roman"/>
          <w:i/>
          <w:iCs/>
          <w:sz w:val="24"/>
          <w:szCs w:val="24"/>
          <w:lang w:eastAsia="de-DE"/>
        </w:rPr>
        <w:t>Advanced</w:t>
      </w:r>
      <w:proofErr w:type="spellEnd"/>
      <w:r w:rsidRPr="00DE108A">
        <w:rPr>
          <w:rFonts w:ascii="Times New Roman" w:eastAsia="Times New Roman" w:hAnsi="Times New Roman"/>
          <w:i/>
          <w:iCs/>
          <w:sz w:val="24"/>
          <w:szCs w:val="24"/>
          <w:lang w:eastAsia="de-DE"/>
        </w:rPr>
        <w:t xml:space="preserve"> Drug </w:t>
      </w:r>
      <w:proofErr w:type="spellStart"/>
      <w:r w:rsidRPr="00DE108A">
        <w:rPr>
          <w:rFonts w:ascii="Times New Roman" w:eastAsia="Times New Roman" w:hAnsi="Times New Roman"/>
          <w:i/>
          <w:iCs/>
          <w:sz w:val="24"/>
          <w:szCs w:val="24"/>
          <w:lang w:eastAsia="de-DE"/>
        </w:rPr>
        <w:t>Delivery</w:t>
      </w:r>
      <w:proofErr w:type="spellEnd"/>
      <w:r w:rsidRPr="00DE108A">
        <w:rPr>
          <w:rFonts w:ascii="Times New Roman" w:eastAsia="Times New Roman" w:hAnsi="Times New Roman"/>
          <w:i/>
          <w:iCs/>
          <w:sz w:val="24"/>
          <w:szCs w:val="24"/>
          <w:lang w:eastAsia="de-DE"/>
        </w:rPr>
        <w:t xml:space="preserve"> Reviews </w:t>
      </w:r>
      <w:r w:rsidRPr="00DE108A">
        <w:rPr>
          <w:rFonts w:ascii="Times New Roman" w:eastAsia="Times New Roman" w:hAnsi="Times New Roman"/>
          <w:b/>
          <w:bCs/>
          <w:sz w:val="24"/>
          <w:szCs w:val="24"/>
          <w:lang w:eastAsia="de-DE"/>
        </w:rPr>
        <w:t>2007</w:t>
      </w:r>
      <w:r w:rsidRPr="00DE108A">
        <w:rPr>
          <w:rFonts w:ascii="Times New Roman" w:eastAsia="Times New Roman" w:hAnsi="Times New Roman"/>
          <w:i/>
          <w:iCs/>
          <w:sz w:val="24"/>
          <w:szCs w:val="24"/>
          <w:lang w:eastAsia="de-DE"/>
        </w:rPr>
        <w:t>, 59</w:t>
      </w:r>
      <w:r w:rsidR="00C13469">
        <w:rPr>
          <w:rFonts w:ascii="Times New Roman" w:eastAsia="Times New Roman" w:hAnsi="Times New Roman"/>
          <w:sz w:val="24"/>
          <w:szCs w:val="24"/>
          <w:lang w:eastAsia="de-DE"/>
        </w:rPr>
        <w:t>, 617</w:t>
      </w:r>
      <w:r w:rsidRPr="00DE108A">
        <w:rPr>
          <w:rFonts w:ascii="Times New Roman" w:eastAsia="Times New Roman" w:hAnsi="Times New Roman"/>
          <w:sz w:val="24"/>
          <w:szCs w:val="24"/>
          <w:lang w:eastAsia="de-DE"/>
        </w:rPr>
        <w:t>.</w:t>
      </w:r>
      <w:bookmarkEnd w:id="0"/>
      <w:r w:rsidRPr="00DE108A">
        <w:rPr>
          <w:rFonts w:ascii="Times New Roman" w:eastAsia="Times New Roman" w:hAnsi="Times New Roman"/>
          <w:sz w:val="24"/>
          <w:szCs w:val="24"/>
          <w:lang w:eastAsia="de-DE"/>
        </w:rPr>
        <w:t xml:space="preserve"> </w:t>
      </w:r>
    </w:p>
    <w:p w:rsidR="00DE108A" w:rsidRPr="00DE108A" w:rsidRDefault="00DE108A" w:rsidP="00DE108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de-DE"/>
        </w:rPr>
      </w:pPr>
      <w:bookmarkStart w:id="1" w:name="_Ref387648487"/>
      <w:proofErr w:type="spellStart"/>
      <w:r w:rsidRPr="00DE108A">
        <w:rPr>
          <w:rFonts w:ascii="Times New Roman" w:eastAsia="Times New Roman" w:hAnsi="Times New Roman"/>
          <w:sz w:val="24"/>
          <w:szCs w:val="24"/>
          <w:shd w:val="clear" w:color="auto" w:fill="3399FF"/>
          <w:lang w:val="en-US" w:eastAsia="de-DE"/>
        </w:rPr>
        <w:t>Abramov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, Y. A.; </w:t>
      </w:r>
      <w:proofErr w:type="spellStart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>Loschen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, C. and Klamt, A. rational coformer or solvent selection for pharmaceutical </w:t>
      </w:r>
      <w:proofErr w:type="spellStart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>cocrystallization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 or </w:t>
      </w:r>
      <w:proofErr w:type="spellStart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>desolvation</w:t>
      </w:r>
      <w:proofErr w:type="spellEnd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. </w:t>
      </w:r>
      <w:r w:rsidRPr="00DE108A">
        <w:rPr>
          <w:rFonts w:ascii="Times New Roman" w:eastAsia="Times New Roman" w:hAnsi="Times New Roman"/>
          <w:i/>
          <w:iCs/>
          <w:sz w:val="24"/>
          <w:szCs w:val="24"/>
          <w:lang w:val="en-US" w:eastAsia="de-DE"/>
        </w:rPr>
        <w:t xml:space="preserve">J. Pharm. Sci. </w:t>
      </w:r>
      <w:r w:rsidRPr="00DE108A">
        <w:rPr>
          <w:rFonts w:ascii="Times New Roman" w:eastAsia="Times New Roman" w:hAnsi="Times New Roman"/>
          <w:b/>
          <w:bCs/>
          <w:sz w:val="24"/>
          <w:szCs w:val="24"/>
          <w:lang w:val="en-US" w:eastAsia="de-DE"/>
        </w:rPr>
        <w:t>2012</w:t>
      </w:r>
      <w:r w:rsidRPr="00DE108A">
        <w:rPr>
          <w:rFonts w:ascii="Times New Roman" w:eastAsia="Times New Roman" w:hAnsi="Times New Roman"/>
          <w:i/>
          <w:iCs/>
          <w:sz w:val="24"/>
          <w:szCs w:val="24"/>
          <w:lang w:val="en-US" w:eastAsia="de-DE"/>
        </w:rPr>
        <w:t>, 101</w:t>
      </w:r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>, 3687.</w:t>
      </w:r>
      <w:bookmarkEnd w:id="1"/>
      <w:r w:rsidRPr="00DE108A">
        <w:rPr>
          <w:rFonts w:ascii="Times New Roman" w:eastAsia="Times New Roman" w:hAnsi="Times New Roman"/>
          <w:sz w:val="24"/>
          <w:szCs w:val="24"/>
          <w:lang w:val="en-US" w:eastAsia="de-DE"/>
        </w:rPr>
        <w:t xml:space="preserve"> </w:t>
      </w:r>
    </w:p>
    <w:p w:rsidR="00DE108A" w:rsidRDefault="00DE108A" w:rsidP="00DE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sz w:val="20"/>
          <w:szCs w:val="20"/>
          <w:lang w:val="en-US" w:eastAsia="de-DE"/>
        </w:rPr>
      </w:pPr>
    </w:p>
    <w:p w:rsidR="004C4D6E" w:rsidRPr="009805B1" w:rsidRDefault="004C4D6E">
      <w:pPr>
        <w:rPr>
          <w:lang w:val="en-US"/>
        </w:rPr>
      </w:pPr>
    </w:p>
    <w:sectPr w:rsidR="004C4D6E" w:rsidRPr="009805B1" w:rsidSect="004C4D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C5A"/>
    <w:multiLevelType w:val="hybridMultilevel"/>
    <w:tmpl w:val="94F4C430"/>
    <w:lvl w:ilvl="0" w:tplc="5E7423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62356"/>
    <w:multiLevelType w:val="hybridMultilevel"/>
    <w:tmpl w:val="8B4E90EA"/>
    <w:lvl w:ilvl="0" w:tplc="F5B2604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05B1"/>
    <w:rsid w:val="000A28B3"/>
    <w:rsid w:val="0017620A"/>
    <w:rsid w:val="001927E4"/>
    <w:rsid w:val="0022140D"/>
    <w:rsid w:val="0024473D"/>
    <w:rsid w:val="00266A9F"/>
    <w:rsid w:val="002951B6"/>
    <w:rsid w:val="002D6AF7"/>
    <w:rsid w:val="002E519F"/>
    <w:rsid w:val="003B5BB8"/>
    <w:rsid w:val="004C4D6E"/>
    <w:rsid w:val="00615D80"/>
    <w:rsid w:val="007034C5"/>
    <w:rsid w:val="00737A41"/>
    <w:rsid w:val="00885B02"/>
    <w:rsid w:val="009805B1"/>
    <w:rsid w:val="00A25BB4"/>
    <w:rsid w:val="00A54B85"/>
    <w:rsid w:val="00BB0F8D"/>
    <w:rsid w:val="00C13469"/>
    <w:rsid w:val="00C421E0"/>
    <w:rsid w:val="00C66709"/>
    <w:rsid w:val="00CA5335"/>
    <w:rsid w:val="00CD650A"/>
    <w:rsid w:val="00CF0594"/>
    <w:rsid w:val="00CF16A1"/>
    <w:rsid w:val="00DB7EAD"/>
    <w:rsid w:val="00DE1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4D6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80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9805B1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1E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108A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SprechblasentextZchn">
    <w:name w:val="Sprechblasentext Zchn"/>
    <w:link w:val="Sprechblasentext"/>
    <w:uiPriority w:val="99"/>
    <w:semiHidden/>
    <w:rsid w:val="00DE108A"/>
    <w:rPr>
      <w:rFonts w:ascii="Tahoma" w:hAnsi="Tahoma" w:cs="Tahoma"/>
      <w:sz w:val="16"/>
      <w:szCs w:val="16"/>
      <w:lang w:eastAsia="en-US"/>
    </w:rPr>
  </w:style>
  <w:style w:type="character" w:styleId="Hervorhebung">
    <w:name w:val="Emphasis"/>
    <w:uiPriority w:val="20"/>
    <w:qFormat/>
    <w:rsid w:val="00DE108A"/>
    <w:rPr>
      <w:i/>
      <w:iCs/>
    </w:rPr>
  </w:style>
  <w:style w:type="character" w:styleId="Kommentarzeichen">
    <w:name w:val="annotation reference"/>
    <w:uiPriority w:val="99"/>
    <w:semiHidden/>
    <w:unhideWhenUsed/>
    <w:rsid w:val="00DE10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E108A"/>
    <w:rPr>
      <w:sz w:val="20"/>
      <w:szCs w:val="20"/>
      <w:lang/>
    </w:rPr>
  </w:style>
  <w:style w:type="character" w:customStyle="1" w:styleId="KommentartextZchn">
    <w:name w:val="Kommentartext Zchn"/>
    <w:link w:val="Kommentartext"/>
    <w:uiPriority w:val="99"/>
    <w:semiHidden/>
    <w:rsid w:val="00DE108A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108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E108A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083B6-6CD5-4565-82F7-334045CF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Klamt</dc:creator>
  <cp:lastModifiedBy>Klamt</cp:lastModifiedBy>
  <cp:revision>2</cp:revision>
  <dcterms:created xsi:type="dcterms:W3CDTF">2014-05-12T14:56:00Z</dcterms:created>
  <dcterms:modified xsi:type="dcterms:W3CDTF">2014-05-12T14:56:00Z</dcterms:modified>
</cp:coreProperties>
</file>