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C9048D" w14:textId="03E57A54" w:rsidR="00AB4BA0" w:rsidRPr="00F32834" w:rsidRDefault="00F32834" w:rsidP="00D12898">
      <w:pPr>
        <w:jc w:val="center"/>
        <w:rPr>
          <w:rFonts w:asciiTheme="majorHAnsi" w:hAnsiTheme="majorHAnsi" w:cs="Arial"/>
          <w:sz w:val="44"/>
        </w:rPr>
      </w:pPr>
      <w:r w:rsidRPr="00F32834">
        <w:rPr>
          <w:rFonts w:asciiTheme="majorHAnsi" w:hAnsiTheme="majorHAnsi" w:cs="Arial"/>
          <w:sz w:val="44"/>
        </w:rPr>
        <w:t>STRATEGIC DES</w:t>
      </w:r>
      <w:r>
        <w:rPr>
          <w:rFonts w:asciiTheme="majorHAnsi" w:hAnsiTheme="majorHAnsi" w:cs="Arial"/>
          <w:sz w:val="44"/>
        </w:rPr>
        <w:t>IGN OF BIOSNG SUPPLY CHAIN</w:t>
      </w:r>
      <w:r w:rsidR="00021C08">
        <w:rPr>
          <w:rFonts w:asciiTheme="majorHAnsi" w:hAnsiTheme="majorHAnsi" w:cs="Arial"/>
          <w:sz w:val="44"/>
        </w:rPr>
        <w:t>S</w:t>
      </w:r>
    </w:p>
    <w:p w14:paraId="64445EE0" w14:textId="321CEB38" w:rsidR="00DE202F" w:rsidRDefault="00DE202F" w:rsidP="00DE202F">
      <w:pPr>
        <w:jc w:val="center"/>
        <w:rPr>
          <w:rFonts w:asciiTheme="majorHAnsi" w:hAnsiTheme="majorHAnsi"/>
          <w:bCs/>
          <w:sz w:val="32"/>
          <w:vertAlign w:val="superscript"/>
          <w:lang w:val="es-ES"/>
        </w:rPr>
      </w:pPr>
      <w:r w:rsidRPr="00F32834">
        <w:rPr>
          <w:rFonts w:asciiTheme="majorHAnsi" w:hAnsiTheme="majorHAnsi"/>
          <w:bCs/>
          <w:sz w:val="32"/>
          <w:lang w:val="es-ES"/>
        </w:rPr>
        <w:t xml:space="preserve">Andres </w:t>
      </w:r>
      <w:r w:rsidR="00D91639">
        <w:rPr>
          <w:rFonts w:asciiTheme="majorHAnsi" w:hAnsiTheme="majorHAnsi"/>
          <w:bCs/>
          <w:sz w:val="32"/>
          <w:lang w:val="es-ES"/>
        </w:rPr>
        <w:t xml:space="preserve">J. </w:t>
      </w:r>
      <w:r w:rsidRPr="00F32834">
        <w:rPr>
          <w:rFonts w:asciiTheme="majorHAnsi" w:hAnsiTheme="majorHAnsi"/>
          <w:bCs/>
          <w:sz w:val="32"/>
          <w:lang w:val="es-ES"/>
        </w:rPr>
        <w:t>Calderon</w:t>
      </w:r>
      <w:r w:rsidRPr="00F32834">
        <w:rPr>
          <w:rFonts w:asciiTheme="majorHAnsi" w:hAnsiTheme="majorHAnsi"/>
          <w:bCs/>
          <w:sz w:val="32"/>
          <w:vertAlign w:val="superscript"/>
          <w:lang w:val="es-ES"/>
        </w:rPr>
        <w:t>1</w:t>
      </w:r>
      <w:bookmarkStart w:id="0" w:name="OLE_LINK3"/>
      <w:bookmarkStart w:id="1" w:name="OLE_LINK4"/>
      <w:r w:rsidRPr="00F32834">
        <w:rPr>
          <w:rFonts w:asciiTheme="majorHAnsi" w:hAnsiTheme="majorHAnsi"/>
          <w:bCs/>
          <w:sz w:val="32"/>
          <w:lang w:val="es-ES"/>
        </w:rPr>
        <w:t>, Paolo Agnolucci</w:t>
      </w:r>
      <w:bookmarkEnd w:id="0"/>
      <w:bookmarkEnd w:id="1"/>
      <w:r w:rsidRPr="00F32834">
        <w:rPr>
          <w:rFonts w:asciiTheme="majorHAnsi" w:hAnsiTheme="majorHAnsi"/>
          <w:bCs/>
          <w:sz w:val="32"/>
          <w:vertAlign w:val="superscript"/>
          <w:lang w:val="es-ES"/>
        </w:rPr>
        <w:t>2</w:t>
      </w:r>
      <w:r w:rsidRPr="00F32834">
        <w:rPr>
          <w:rFonts w:asciiTheme="majorHAnsi" w:hAnsiTheme="majorHAnsi"/>
          <w:bCs/>
          <w:sz w:val="32"/>
          <w:lang w:val="es-ES"/>
        </w:rPr>
        <w:t>, Lazaros G. Papageorgiou</w:t>
      </w:r>
      <w:r w:rsidR="00914594" w:rsidRPr="00F32834">
        <w:rPr>
          <w:rFonts w:asciiTheme="majorHAnsi" w:hAnsiTheme="majorHAnsi"/>
          <w:bCs/>
          <w:sz w:val="32"/>
          <w:vertAlign w:val="superscript"/>
          <w:lang w:val="es-ES"/>
        </w:rPr>
        <w:t>1</w:t>
      </w:r>
      <w:r w:rsidR="00F32834">
        <w:rPr>
          <w:rFonts w:asciiTheme="majorHAnsi" w:hAnsiTheme="majorHAnsi"/>
          <w:bCs/>
          <w:sz w:val="32"/>
          <w:vertAlign w:val="superscript"/>
          <w:lang w:val="es-ES"/>
        </w:rPr>
        <w:t>,*</w:t>
      </w:r>
    </w:p>
    <w:p w14:paraId="410D30FB" w14:textId="77777777" w:rsidR="00D91639" w:rsidRPr="00F32834" w:rsidRDefault="00D91639" w:rsidP="00DE202F">
      <w:pPr>
        <w:jc w:val="center"/>
        <w:rPr>
          <w:rFonts w:asciiTheme="majorHAnsi" w:hAnsiTheme="majorHAnsi"/>
          <w:sz w:val="32"/>
        </w:rPr>
      </w:pPr>
    </w:p>
    <w:p w14:paraId="2EF44549" w14:textId="1FF68877" w:rsidR="00C46271" w:rsidRPr="00D91639" w:rsidRDefault="00914594" w:rsidP="00D91639">
      <w:pPr>
        <w:numPr>
          <w:ilvl w:val="0"/>
          <w:numId w:val="2"/>
        </w:numPr>
        <w:tabs>
          <w:tab w:val="clear" w:pos="720"/>
          <w:tab w:val="num" w:pos="284"/>
        </w:tabs>
        <w:spacing w:after="0" w:line="360" w:lineRule="auto"/>
        <w:ind w:left="284" w:hanging="284"/>
        <w:jc w:val="both"/>
        <w:rPr>
          <w:rFonts w:asciiTheme="majorHAnsi" w:hAnsiTheme="majorHAnsi"/>
          <w:sz w:val="23"/>
          <w:szCs w:val="23"/>
        </w:rPr>
      </w:pPr>
      <w:r w:rsidRPr="00D91639">
        <w:rPr>
          <w:rFonts w:asciiTheme="majorHAnsi" w:hAnsiTheme="majorHAnsi"/>
          <w:bCs/>
          <w:sz w:val="23"/>
          <w:szCs w:val="23"/>
        </w:rPr>
        <w:t xml:space="preserve">Centre for Process Systems Engineering, </w:t>
      </w:r>
      <w:r w:rsidR="005A5466" w:rsidRPr="00D91639">
        <w:rPr>
          <w:rFonts w:ascii="Cambria" w:eastAsia="Times New Roman" w:hAnsi="Cambria" w:cs="Times New Roman"/>
          <w:bCs/>
          <w:sz w:val="23"/>
          <w:szCs w:val="23"/>
          <w:lang w:eastAsia="es-ES"/>
        </w:rPr>
        <w:t>Department of Chemical Engineering, UCL (University College London), London WC1E 7JE</w:t>
      </w:r>
      <w:r w:rsidR="00D91639">
        <w:rPr>
          <w:rFonts w:ascii="Cambria" w:eastAsia="Times New Roman" w:hAnsi="Cambria" w:cs="Times New Roman"/>
          <w:bCs/>
          <w:sz w:val="23"/>
          <w:szCs w:val="23"/>
          <w:lang w:eastAsia="es-ES"/>
        </w:rPr>
        <w:t>,</w:t>
      </w:r>
      <w:r w:rsidR="005A5466" w:rsidRPr="00D91639">
        <w:rPr>
          <w:rFonts w:ascii="Cambria" w:eastAsia="Times New Roman" w:hAnsi="Cambria" w:cs="Times New Roman"/>
          <w:bCs/>
          <w:sz w:val="23"/>
          <w:szCs w:val="23"/>
          <w:lang w:eastAsia="es-ES"/>
        </w:rPr>
        <w:t xml:space="preserve"> UK</w:t>
      </w:r>
    </w:p>
    <w:p w14:paraId="6C12BD3C" w14:textId="4FDDFA12" w:rsidR="00C46271" w:rsidRPr="00D91639" w:rsidRDefault="00914594" w:rsidP="00D91639">
      <w:pPr>
        <w:numPr>
          <w:ilvl w:val="0"/>
          <w:numId w:val="2"/>
        </w:numPr>
        <w:tabs>
          <w:tab w:val="clear" w:pos="720"/>
          <w:tab w:val="num" w:pos="284"/>
        </w:tabs>
        <w:spacing w:after="0" w:line="360" w:lineRule="auto"/>
        <w:ind w:left="284" w:hanging="284"/>
        <w:jc w:val="both"/>
        <w:rPr>
          <w:rFonts w:ascii="Cambria" w:eastAsia="Times New Roman" w:hAnsi="Cambria" w:cs="Times New Roman"/>
          <w:bCs/>
          <w:sz w:val="23"/>
          <w:szCs w:val="23"/>
          <w:lang w:eastAsia="es-ES"/>
        </w:rPr>
      </w:pPr>
      <w:bookmarkStart w:id="2" w:name="OLE_LINK5"/>
      <w:bookmarkStart w:id="3" w:name="OLE_LINK6"/>
      <w:r w:rsidRPr="00D91639">
        <w:rPr>
          <w:rFonts w:asciiTheme="majorHAnsi" w:hAnsiTheme="majorHAnsi"/>
          <w:bCs/>
          <w:sz w:val="23"/>
          <w:szCs w:val="23"/>
        </w:rPr>
        <w:t>UCL Institute for Sustainable Resources</w:t>
      </w:r>
      <w:r w:rsidR="005A5466" w:rsidRPr="00D91639">
        <w:rPr>
          <w:rFonts w:asciiTheme="majorHAnsi" w:hAnsiTheme="majorHAnsi"/>
          <w:bCs/>
          <w:sz w:val="23"/>
          <w:szCs w:val="23"/>
        </w:rPr>
        <w:t xml:space="preserve">, </w:t>
      </w:r>
      <w:r w:rsidR="005A5466" w:rsidRPr="00D91639">
        <w:rPr>
          <w:rFonts w:ascii="Cambria" w:eastAsia="Times New Roman" w:hAnsi="Cambria" w:cs="Times New Roman"/>
          <w:bCs/>
          <w:sz w:val="23"/>
          <w:szCs w:val="23"/>
          <w:lang w:eastAsia="es-ES"/>
        </w:rPr>
        <w:t>UCL (University College London),</w:t>
      </w:r>
      <w:r w:rsidR="005A5466" w:rsidRPr="00D91639">
        <w:rPr>
          <w:rFonts w:ascii="Cambria" w:eastAsia="Times New Roman" w:hAnsi="Cambria" w:cs="Times New Roman"/>
          <w:bCs/>
          <w:sz w:val="23"/>
          <w:szCs w:val="23"/>
          <w:lang w:eastAsia="es-ES"/>
        </w:rPr>
        <w:t xml:space="preserve"> </w:t>
      </w:r>
      <w:r w:rsidR="00E72630" w:rsidRPr="00D91639">
        <w:rPr>
          <w:rFonts w:ascii="Cambria" w:eastAsia="Times New Roman" w:hAnsi="Cambria" w:cs="Times New Roman"/>
          <w:bCs/>
          <w:sz w:val="23"/>
          <w:szCs w:val="23"/>
          <w:lang w:eastAsia="es-ES"/>
        </w:rPr>
        <w:t xml:space="preserve">London </w:t>
      </w:r>
      <w:r w:rsidR="00E72630" w:rsidRPr="00D91639">
        <w:rPr>
          <w:rFonts w:ascii="Cambria" w:eastAsia="Times New Roman" w:hAnsi="Cambria" w:cs="Times New Roman"/>
          <w:bCs/>
          <w:sz w:val="23"/>
          <w:szCs w:val="23"/>
          <w:lang w:eastAsia="es-ES"/>
        </w:rPr>
        <w:t>WC1H 0NN</w:t>
      </w:r>
      <w:r w:rsidR="00D91639">
        <w:rPr>
          <w:rFonts w:ascii="Cambria" w:eastAsia="Times New Roman" w:hAnsi="Cambria" w:cs="Times New Roman"/>
          <w:bCs/>
          <w:sz w:val="23"/>
          <w:szCs w:val="23"/>
          <w:lang w:eastAsia="es-ES"/>
        </w:rPr>
        <w:t>, UK</w:t>
      </w:r>
    </w:p>
    <w:bookmarkEnd w:id="2"/>
    <w:bookmarkEnd w:id="3"/>
    <w:p w14:paraId="49E959F9" w14:textId="68675941" w:rsidR="00AB4BA0" w:rsidRPr="00F32834" w:rsidRDefault="00F32834" w:rsidP="00F32834">
      <w:pPr>
        <w:spacing w:after="0" w:line="240" w:lineRule="auto"/>
        <w:jc w:val="center"/>
        <w:rPr>
          <w:rFonts w:asciiTheme="majorHAnsi" w:eastAsia="Times New Roman" w:hAnsiTheme="majorHAnsi" w:cs="Times New Roman"/>
          <w:bCs/>
          <w:sz w:val="20"/>
          <w:szCs w:val="20"/>
          <w:lang w:eastAsia="es-ES"/>
        </w:rPr>
      </w:pPr>
      <w:r w:rsidRPr="00F32834">
        <w:rPr>
          <w:rFonts w:asciiTheme="majorHAnsi" w:eastAsia="Times New Roman" w:hAnsiTheme="majorHAnsi" w:cs="Times New Roman"/>
          <w:bCs/>
          <w:sz w:val="20"/>
          <w:szCs w:val="20"/>
          <w:vertAlign w:val="superscript"/>
          <w:lang w:eastAsia="es-ES"/>
        </w:rPr>
        <w:t xml:space="preserve">* </w:t>
      </w:r>
      <w:r w:rsidRPr="00F32834">
        <w:rPr>
          <w:rFonts w:asciiTheme="majorHAnsi" w:eastAsia="Times New Roman" w:hAnsiTheme="majorHAnsi" w:cs="Times New Roman"/>
          <w:bCs/>
          <w:sz w:val="20"/>
          <w:szCs w:val="20"/>
          <w:lang w:eastAsia="es-ES"/>
        </w:rPr>
        <w:t xml:space="preserve">Corresponding author. E-mail address: </w:t>
      </w:r>
      <w:hyperlink r:id="rId7" w:history="1">
        <w:r w:rsidRPr="000F4477">
          <w:rPr>
            <w:rStyle w:val="Hyperlink"/>
            <w:rFonts w:asciiTheme="majorHAnsi" w:hAnsiTheme="majorHAnsi"/>
            <w:sz w:val="20"/>
            <w:szCs w:val="20"/>
          </w:rPr>
          <w:t>l.papageorgiou@ucl.ac.uk</w:t>
        </w:r>
      </w:hyperlink>
      <w:r>
        <w:rPr>
          <w:rFonts w:asciiTheme="majorHAnsi" w:hAnsiTheme="majorHAnsi"/>
          <w:sz w:val="20"/>
          <w:szCs w:val="20"/>
        </w:rPr>
        <w:t xml:space="preserve"> </w:t>
      </w:r>
      <w:r w:rsidRPr="00F32834">
        <w:rPr>
          <w:rFonts w:asciiTheme="majorHAnsi" w:eastAsia="Times New Roman" w:hAnsiTheme="majorHAnsi" w:cs="Times New Roman"/>
          <w:bCs/>
          <w:sz w:val="20"/>
          <w:szCs w:val="20"/>
          <w:lang w:eastAsia="es-ES"/>
        </w:rPr>
        <w:t>(</w:t>
      </w:r>
      <w:r>
        <w:rPr>
          <w:rFonts w:asciiTheme="majorHAnsi" w:eastAsia="Times New Roman" w:hAnsiTheme="majorHAnsi" w:cs="Times New Roman"/>
          <w:bCs/>
          <w:sz w:val="20"/>
          <w:szCs w:val="20"/>
          <w:lang w:eastAsia="es-ES"/>
        </w:rPr>
        <w:t>L</w:t>
      </w:r>
      <w:r w:rsidRPr="00F32834">
        <w:rPr>
          <w:rFonts w:asciiTheme="majorHAnsi" w:eastAsia="Times New Roman" w:hAnsiTheme="majorHAnsi" w:cs="Times New Roman"/>
          <w:bCs/>
          <w:sz w:val="20"/>
          <w:szCs w:val="20"/>
          <w:lang w:eastAsia="es-ES"/>
        </w:rPr>
        <w:t>.</w:t>
      </w:r>
      <w:r>
        <w:rPr>
          <w:rFonts w:asciiTheme="majorHAnsi" w:eastAsia="Times New Roman" w:hAnsiTheme="majorHAnsi" w:cs="Times New Roman"/>
          <w:bCs/>
          <w:sz w:val="20"/>
          <w:szCs w:val="20"/>
          <w:lang w:eastAsia="es-ES"/>
        </w:rPr>
        <w:t>G</w:t>
      </w:r>
      <w:r w:rsidRPr="00F32834">
        <w:rPr>
          <w:rFonts w:asciiTheme="majorHAnsi" w:eastAsia="Times New Roman" w:hAnsiTheme="majorHAnsi" w:cs="Times New Roman"/>
          <w:bCs/>
          <w:sz w:val="20"/>
          <w:szCs w:val="20"/>
          <w:lang w:eastAsia="es-ES"/>
        </w:rPr>
        <w:t xml:space="preserve">. </w:t>
      </w:r>
      <w:r>
        <w:rPr>
          <w:rFonts w:asciiTheme="majorHAnsi" w:eastAsia="Times New Roman" w:hAnsiTheme="majorHAnsi" w:cs="Times New Roman"/>
          <w:bCs/>
          <w:sz w:val="20"/>
          <w:szCs w:val="20"/>
          <w:lang w:eastAsia="es-ES"/>
        </w:rPr>
        <w:t>Papageorgiou)</w:t>
      </w:r>
    </w:p>
    <w:p w14:paraId="5A50871E" w14:textId="77777777" w:rsidR="00F32834" w:rsidRDefault="00F32834" w:rsidP="00AB4BA0">
      <w:pPr>
        <w:spacing w:after="0" w:line="240" w:lineRule="auto"/>
        <w:jc w:val="both"/>
        <w:rPr>
          <w:rFonts w:ascii="Cambria" w:eastAsia="Times New Roman" w:hAnsi="Cambria" w:cs="Times New Roman"/>
          <w:bCs/>
          <w:sz w:val="20"/>
          <w:szCs w:val="20"/>
          <w:lang w:eastAsia="es-ES"/>
        </w:rPr>
      </w:pPr>
    </w:p>
    <w:p w14:paraId="0D37B20C" w14:textId="77777777" w:rsidR="006B7AEB" w:rsidRDefault="006B7AEB" w:rsidP="00AB4BA0">
      <w:pPr>
        <w:spacing w:after="0" w:line="240" w:lineRule="auto"/>
        <w:jc w:val="both"/>
        <w:rPr>
          <w:rFonts w:ascii="Cambria" w:hAnsi="Cambria"/>
          <w:b/>
          <w:sz w:val="28"/>
          <w:szCs w:val="28"/>
          <w:lang w:val="en-US"/>
        </w:rPr>
      </w:pPr>
    </w:p>
    <w:p w14:paraId="479C8380" w14:textId="4E0C421C" w:rsidR="006B7AEB" w:rsidRDefault="006B7AEB" w:rsidP="00AB4BA0">
      <w:pPr>
        <w:spacing w:after="0" w:line="240" w:lineRule="auto"/>
        <w:jc w:val="both"/>
        <w:rPr>
          <w:rFonts w:ascii="Cambria" w:hAnsi="Cambria"/>
          <w:b/>
          <w:sz w:val="28"/>
          <w:szCs w:val="28"/>
          <w:lang w:val="en-US"/>
        </w:rPr>
      </w:pPr>
      <w:r>
        <w:rPr>
          <w:rFonts w:ascii="Cambria" w:hAnsi="Cambria"/>
          <w:b/>
          <w:sz w:val="28"/>
          <w:szCs w:val="28"/>
          <w:lang w:val="en-US"/>
        </w:rPr>
        <w:t>Key words</w:t>
      </w:r>
    </w:p>
    <w:p w14:paraId="475118F8" w14:textId="18F0FBB9" w:rsidR="006B7AEB" w:rsidRPr="006B7AEB" w:rsidRDefault="007B3426" w:rsidP="00AB4BA0">
      <w:pPr>
        <w:spacing w:after="0" w:line="240" w:lineRule="auto"/>
        <w:jc w:val="both"/>
        <w:rPr>
          <w:rFonts w:ascii="Cambria" w:eastAsia="Times New Roman" w:hAnsi="Cambria" w:cs="Times New Roman"/>
          <w:bCs/>
          <w:sz w:val="20"/>
          <w:szCs w:val="20"/>
          <w:lang w:eastAsia="es-ES"/>
        </w:rPr>
      </w:pPr>
      <w:r>
        <w:rPr>
          <w:rFonts w:ascii="Cambria" w:eastAsia="Times New Roman" w:hAnsi="Cambria" w:cs="Times New Roman"/>
          <w:sz w:val="24"/>
          <w:szCs w:val="24"/>
          <w:lang w:val="en-US" w:eastAsia="es-ES"/>
        </w:rPr>
        <w:t>Synthetic Natural Gas (SNG), Forestry waste</w:t>
      </w:r>
      <w:r w:rsidR="006B7AEB">
        <w:rPr>
          <w:rFonts w:ascii="Cambria" w:eastAsia="Times New Roman" w:hAnsi="Cambria" w:cs="Times New Roman"/>
          <w:sz w:val="24"/>
          <w:szCs w:val="24"/>
          <w:lang w:val="en-US" w:eastAsia="es-ES"/>
        </w:rPr>
        <w:t xml:space="preserve">, Solid Recovered Fuels (SRF), energy crops, gasification, </w:t>
      </w:r>
      <w:proofErr w:type="spellStart"/>
      <w:r>
        <w:rPr>
          <w:rFonts w:ascii="Cambria" w:eastAsia="Times New Roman" w:hAnsi="Cambria" w:cs="Times New Roman"/>
          <w:sz w:val="24"/>
          <w:szCs w:val="24"/>
          <w:lang w:val="en-US" w:eastAsia="es-ES"/>
        </w:rPr>
        <w:t>torrefaction</w:t>
      </w:r>
      <w:proofErr w:type="spellEnd"/>
      <w:r>
        <w:rPr>
          <w:rFonts w:ascii="Cambria" w:eastAsia="Times New Roman" w:hAnsi="Cambria" w:cs="Times New Roman"/>
          <w:sz w:val="24"/>
          <w:szCs w:val="24"/>
          <w:lang w:val="en-US" w:eastAsia="es-ES"/>
        </w:rPr>
        <w:t xml:space="preserve">, pyrolysis, </w:t>
      </w:r>
      <w:r w:rsidR="0010648B">
        <w:rPr>
          <w:rFonts w:ascii="Cambria" w:eastAsia="Times New Roman" w:hAnsi="Cambria" w:cs="Times New Roman"/>
          <w:sz w:val="24"/>
          <w:szCs w:val="24"/>
          <w:lang w:val="en-US" w:eastAsia="es-ES"/>
        </w:rPr>
        <w:t>supply chain optimisation.</w:t>
      </w:r>
    </w:p>
    <w:p w14:paraId="1A317269" w14:textId="3861BE4E" w:rsidR="00F32834" w:rsidRPr="00F32834" w:rsidRDefault="00984ADB" w:rsidP="00984ADB">
      <w:pPr>
        <w:pStyle w:val="TituloGeneral"/>
        <w:jc w:val="left"/>
        <w:rPr>
          <w:rFonts w:asciiTheme="majorHAnsi" w:hAnsiTheme="majorHAnsi"/>
        </w:rPr>
      </w:pPr>
      <w:r>
        <w:rPr>
          <w:rFonts w:ascii="Cambria" w:hAnsi="Cambria"/>
          <w:sz w:val="28"/>
          <w:szCs w:val="28"/>
          <w:lang w:val="en-US"/>
        </w:rPr>
        <w:t>Abstract</w:t>
      </w:r>
    </w:p>
    <w:p w14:paraId="3B8293CB" w14:textId="7708B674" w:rsidR="003821B2" w:rsidRPr="00F32834" w:rsidRDefault="00B13AC3" w:rsidP="00984ADB">
      <w:pPr>
        <w:spacing w:after="0" w:line="240" w:lineRule="auto"/>
        <w:ind w:firstLine="720"/>
        <w:jc w:val="both"/>
        <w:rPr>
          <w:rFonts w:asciiTheme="majorHAnsi" w:hAnsiTheme="majorHAnsi"/>
          <w:sz w:val="24"/>
        </w:rPr>
      </w:pPr>
      <w:r w:rsidRPr="00984ADB">
        <w:rPr>
          <w:rFonts w:ascii="Cambria" w:eastAsia="Times New Roman" w:hAnsi="Cambria" w:cs="Times New Roman"/>
          <w:sz w:val="24"/>
          <w:szCs w:val="24"/>
          <w:lang w:val="en-US" w:eastAsia="es-ES"/>
        </w:rPr>
        <w:t xml:space="preserve">Natural gas </w:t>
      </w:r>
      <w:r w:rsidR="007D50FA" w:rsidRPr="00984ADB">
        <w:rPr>
          <w:rFonts w:ascii="Cambria" w:eastAsia="Times New Roman" w:hAnsi="Cambria" w:cs="Times New Roman"/>
          <w:sz w:val="24"/>
          <w:szCs w:val="24"/>
          <w:lang w:val="en-US" w:eastAsia="es-ES"/>
        </w:rPr>
        <w:t>could play</w:t>
      </w:r>
      <w:r w:rsidRPr="00984ADB">
        <w:rPr>
          <w:rFonts w:ascii="Cambria" w:eastAsia="Times New Roman" w:hAnsi="Cambria" w:cs="Times New Roman"/>
          <w:sz w:val="24"/>
          <w:szCs w:val="24"/>
          <w:lang w:val="en-US" w:eastAsia="es-ES"/>
        </w:rPr>
        <w:t xml:space="preserve"> an important role in the transition between fossil </w:t>
      </w:r>
      <w:r w:rsidR="00D36A64" w:rsidRPr="00984ADB">
        <w:rPr>
          <w:rFonts w:ascii="Cambria" w:eastAsia="Times New Roman" w:hAnsi="Cambria" w:cs="Times New Roman"/>
          <w:sz w:val="24"/>
          <w:szCs w:val="24"/>
          <w:lang w:val="en-US" w:eastAsia="es-ES"/>
        </w:rPr>
        <w:t>and renewable</w:t>
      </w:r>
      <w:r w:rsidR="00D36A64" w:rsidRPr="00F32834">
        <w:rPr>
          <w:rFonts w:asciiTheme="majorHAnsi" w:hAnsiTheme="majorHAnsi"/>
          <w:sz w:val="24"/>
        </w:rPr>
        <w:t xml:space="preserve"> </w:t>
      </w:r>
      <w:r w:rsidRPr="00F32834">
        <w:rPr>
          <w:rFonts w:asciiTheme="majorHAnsi" w:hAnsiTheme="majorHAnsi"/>
          <w:sz w:val="24"/>
        </w:rPr>
        <w:t>fuels</w:t>
      </w:r>
      <w:r w:rsidR="00F140B8" w:rsidRPr="00F32834">
        <w:rPr>
          <w:rFonts w:asciiTheme="majorHAnsi" w:hAnsiTheme="majorHAnsi"/>
          <w:sz w:val="24"/>
        </w:rPr>
        <w:t xml:space="preserve"> as</w:t>
      </w:r>
      <w:r w:rsidR="00D36A64" w:rsidRPr="00F32834">
        <w:rPr>
          <w:rFonts w:asciiTheme="majorHAnsi" w:hAnsiTheme="majorHAnsi"/>
          <w:sz w:val="24"/>
        </w:rPr>
        <w:t xml:space="preserve"> a </w:t>
      </w:r>
      <w:r w:rsidR="00550C1D" w:rsidRPr="00F32834">
        <w:rPr>
          <w:rFonts w:asciiTheme="majorHAnsi" w:hAnsiTheme="majorHAnsi"/>
          <w:sz w:val="24"/>
        </w:rPr>
        <w:t xml:space="preserve">potential </w:t>
      </w:r>
      <w:r w:rsidR="00D36A64" w:rsidRPr="00F32834">
        <w:rPr>
          <w:rFonts w:asciiTheme="majorHAnsi" w:hAnsiTheme="majorHAnsi"/>
          <w:sz w:val="24"/>
        </w:rPr>
        <w:t xml:space="preserve">substitute </w:t>
      </w:r>
      <w:r w:rsidR="00550C1D" w:rsidRPr="00F32834">
        <w:rPr>
          <w:rFonts w:asciiTheme="majorHAnsi" w:hAnsiTheme="majorHAnsi"/>
          <w:sz w:val="24"/>
        </w:rPr>
        <w:t>for</w:t>
      </w:r>
      <w:r w:rsidR="00587156" w:rsidRPr="00F32834">
        <w:rPr>
          <w:rFonts w:asciiTheme="majorHAnsi" w:hAnsiTheme="majorHAnsi"/>
          <w:sz w:val="24"/>
        </w:rPr>
        <w:t xml:space="preserve"> fuels </w:t>
      </w:r>
      <w:r w:rsidR="00F140B8" w:rsidRPr="00F32834">
        <w:rPr>
          <w:rFonts w:asciiTheme="majorHAnsi" w:hAnsiTheme="majorHAnsi"/>
          <w:sz w:val="24"/>
        </w:rPr>
        <w:t xml:space="preserve">with higher CO2-intensity </w:t>
      </w:r>
      <w:r w:rsidR="00587156" w:rsidRPr="00F32834">
        <w:rPr>
          <w:rFonts w:asciiTheme="majorHAnsi" w:hAnsiTheme="majorHAnsi"/>
          <w:sz w:val="24"/>
        </w:rPr>
        <w:t xml:space="preserve">like </w:t>
      </w:r>
      <w:r w:rsidR="00401A4C" w:rsidRPr="00F32834">
        <w:rPr>
          <w:rFonts w:asciiTheme="majorHAnsi" w:hAnsiTheme="majorHAnsi"/>
          <w:sz w:val="24"/>
        </w:rPr>
        <w:t xml:space="preserve">coal. </w:t>
      </w:r>
      <w:r w:rsidR="00F140B8" w:rsidRPr="00F32834">
        <w:rPr>
          <w:rFonts w:asciiTheme="majorHAnsi" w:hAnsiTheme="majorHAnsi"/>
          <w:sz w:val="24"/>
        </w:rPr>
        <w:t xml:space="preserve">Although unconventional </w:t>
      </w:r>
      <w:r w:rsidR="00401A4C" w:rsidRPr="00F32834">
        <w:rPr>
          <w:rFonts w:asciiTheme="majorHAnsi" w:hAnsiTheme="majorHAnsi"/>
          <w:sz w:val="24"/>
        </w:rPr>
        <w:t xml:space="preserve">fuels </w:t>
      </w:r>
      <w:r w:rsidR="004E0C92" w:rsidRPr="00F32834">
        <w:rPr>
          <w:rFonts w:asciiTheme="majorHAnsi" w:hAnsiTheme="majorHAnsi"/>
          <w:sz w:val="24"/>
        </w:rPr>
        <w:t>like t</w:t>
      </w:r>
      <w:r w:rsidR="00072D27" w:rsidRPr="00F32834">
        <w:rPr>
          <w:rFonts w:asciiTheme="majorHAnsi" w:hAnsiTheme="majorHAnsi"/>
          <w:sz w:val="24"/>
        </w:rPr>
        <w:t>ight gas sands</w:t>
      </w:r>
      <w:r w:rsidR="00B36D64" w:rsidRPr="00F32834">
        <w:rPr>
          <w:rFonts w:asciiTheme="majorHAnsi" w:hAnsiTheme="majorHAnsi"/>
          <w:sz w:val="24"/>
        </w:rPr>
        <w:t xml:space="preserve"> and</w:t>
      </w:r>
      <w:r w:rsidR="00072D27" w:rsidRPr="00F32834">
        <w:rPr>
          <w:rFonts w:asciiTheme="majorHAnsi" w:hAnsiTheme="majorHAnsi"/>
          <w:sz w:val="24"/>
        </w:rPr>
        <w:t xml:space="preserve"> shale gas </w:t>
      </w:r>
      <w:r w:rsidR="008C0E04" w:rsidRPr="00F32834">
        <w:rPr>
          <w:rFonts w:asciiTheme="majorHAnsi" w:hAnsiTheme="majorHAnsi"/>
          <w:sz w:val="24"/>
        </w:rPr>
        <w:t>are growing in popularity</w:t>
      </w:r>
      <w:r w:rsidR="004E0C92" w:rsidRPr="00F32834">
        <w:rPr>
          <w:rFonts w:asciiTheme="majorHAnsi" w:hAnsiTheme="majorHAnsi"/>
          <w:sz w:val="24"/>
        </w:rPr>
        <w:t>,</w:t>
      </w:r>
      <w:r w:rsidR="008C0E04" w:rsidRPr="00F32834">
        <w:rPr>
          <w:rFonts w:asciiTheme="majorHAnsi" w:hAnsiTheme="majorHAnsi"/>
          <w:sz w:val="24"/>
        </w:rPr>
        <w:t xml:space="preserve"> the debate about the</w:t>
      </w:r>
      <w:r w:rsidR="003821B2" w:rsidRPr="00F32834">
        <w:rPr>
          <w:rFonts w:asciiTheme="majorHAnsi" w:hAnsiTheme="majorHAnsi"/>
          <w:sz w:val="24"/>
        </w:rPr>
        <w:t>ir</w:t>
      </w:r>
      <w:r w:rsidR="00AD0C7A" w:rsidRPr="00F32834">
        <w:rPr>
          <w:rFonts w:asciiTheme="majorHAnsi" w:hAnsiTheme="majorHAnsi"/>
          <w:sz w:val="24"/>
        </w:rPr>
        <w:t xml:space="preserve"> environmental </w:t>
      </w:r>
      <w:r w:rsidR="00EC2FAC" w:rsidRPr="00F32834">
        <w:rPr>
          <w:rFonts w:asciiTheme="majorHAnsi" w:hAnsiTheme="majorHAnsi"/>
          <w:sz w:val="24"/>
        </w:rPr>
        <w:t xml:space="preserve">impact </w:t>
      </w:r>
      <w:r w:rsidR="008C0E04" w:rsidRPr="00F32834">
        <w:rPr>
          <w:rFonts w:asciiTheme="majorHAnsi" w:hAnsiTheme="majorHAnsi"/>
          <w:sz w:val="24"/>
        </w:rPr>
        <w:t>is still open</w:t>
      </w:r>
      <w:r w:rsidR="00736941">
        <w:rPr>
          <w:rFonts w:asciiTheme="majorHAnsi" w:hAnsiTheme="majorHAnsi"/>
          <w:sz w:val="24"/>
        </w:rPr>
        <w:t xml:space="preserve"> </w:t>
      </w:r>
      <w:r w:rsidR="00736941">
        <w:rPr>
          <w:rFonts w:asciiTheme="majorHAnsi" w:hAnsiTheme="majorHAnsi"/>
          <w:sz w:val="24"/>
        </w:rPr>
        <w:fldChar w:fldCharType="begin" w:fldLock="1"/>
      </w:r>
      <w:r w:rsidR="00984ADB">
        <w:rPr>
          <w:rFonts w:asciiTheme="majorHAnsi" w:hAnsiTheme="majorHAnsi"/>
          <w:sz w:val="24"/>
        </w:rPr>
        <w:instrText>ADDIN CSL_CITATION { "citationItems" : [ { "id" : "ITEM-1", "itemData" : { "author" : [ { "dropping-particle" : "", "family" : "EPA", "given" : "", "non-dropping-particle" : "", "parse-names" : false, "suffix" : "" } ], "id" : "ITEM-1", "issue" : "November", "issued" : { "date-parts" : [ [ "2011" ] ] }, "publisher-place" : "Washington, D.C.", "title" : "Plan to Study the Potential Impacts of Hydraulic Fracturing", "type" : "report" }, "uris" : [ "http://www.mendeley.com/documents/?uuid=14914301-f6a2-4f68-820a-8d111ddf445e" ] }, { "id" : "ITEM-2", "itemData" : { "author" : [ { "dropping-particle" : "", "family" : "EA", "given" : "", "non-dropping-particle" : "", "parse-names" : false, "suffix" : "" } ], "id" : "ITEM-2", "issue" : "August", "issued" : { "date-parts" : [ [ "2013" ] ] }, "page" : "1-32", "title" : "An Environmental Risk Assessment for shale gas exploratory operations in England", "type" : "report" }, "uris" : [ "http://www.mendeley.com/documents/?uuid=08d7c180-ddb6-46f0-89a6-8329445cb3f3" ] } ], "mendeley" : { "previouslyFormattedCitation" : "(EA, 2013; EPA, 2011)" }, "properties" : { "noteIndex" : 0 }, "schema" : "https://github.com/citation-style-language/schema/raw/master/csl-citation.json" }</w:instrText>
      </w:r>
      <w:r w:rsidR="00736941">
        <w:rPr>
          <w:rFonts w:asciiTheme="majorHAnsi" w:hAnsiTheme="majorHAnsi"/>
          <w:sz w:val="24"/>
        </w:rPr>
        <w:fldChar w:fldCharType="separate"/>
      </w:r>
      <w:r w:rsidR="00646889" w:rsidRPr="00646889">
        <w:rPr>
          <w:rFonts w:asciiTheme="majorHAnsi" w:hAnsiTheme="majorHAnsi"/>
          <w:noProof/>
          <w:sz w:val="24"/>
        </w:rPr>
        <w:t>(EA, 2013; EPA, 2011)</w:t>
      </w:r>
      <w:r w:rsidR="00736941">
        <w:rPr>
          <w:rFonts w:asciiTheme="majorHAnsi" w:hAnsiTheme="majorHAnsi"/>
          <w:sz w:val="24"/>
        </w:rPr>
        <w:fldChar w:fldCharType="end"/>
      </w:r>
      <w:r w:rsidR="008C0E04" w:rsidRPr="00F32834">
        <w:rPr>
          <w:rFonts w:asciiTheme="majorHAnsi" w:hAnsiTheme="majorHAnsi"/>
          <w:sz w:val="24"/>
        </w:rPr>
        <w:t xml:space="preserve">. </w:t>
      </w:r>
      <w:r w:rsidR="00F140B8" w:rsidRPr="00F32834">
        <w:rPr>
          <w:rFonts w:asciiTheme="majorHAnsi" w:hAnsiTheme="majorHAnsi"/>
          <w:sz w:val="24"/>
        </w:rPr>
        <w:t>In this context</w:t>
      </w:r>
      <w:r w:rsidR="0007103B" w:rsidRPr="00F32834">
        <w:rPr>
          <w:rFonts w:asciiTheme="majorHAnsi" w:hAnsiTheme="majorHAnsi"/>
          <w:sz w:val="24"/>
        </w:rPr>
        <w:t xml:space="preserve">, </w:t>
      </w:r>
      <w:r w:rsidR="003821B2" w:rsidRPr="00F32834">
        <w:rPr>
          <w:rFonts w:asciiTheme="majorHAnsi" w:hAnsiTheme="majorHAnsi"/>
          <w:sz w:val="24"/>
        </w:rPr>
        <w:t>the development of</w:t>
      </w:r>
      <w:r w:rsidR="00D71CC7" w:rsidRPr="00F32834">
        <w:rPr>
          <w:rFonts w:asciiTheme="majorHAnsi" w:hAnsiTheme="majorHAnsi"/>
          <w:sz w:val="24"/>
        </w:rPr>
        <w:t xml:space="preserve"> new </w:t>
      </w:r>
      <w:r w:rsidR="003821B2" w:rsidRPr="00F32834">
        <w:rPr>
          <w:rFonts w:asciiTheme="majorHAnsi" w:hAnsiTheme="majorHAnsi"/>
          <w:sz w:val="24"/>
        </w:rPr>
        <w:t xml:space="preserve">technologies for the production of </w:t>
      </w:r>
      <w:r w:rsidR="004E67FC" w:rsidRPr="00F32834">
        <w:rPr>
          <w:rFonts w:asciiTheme="majorHAnsi" w:hAnsiTheme="majorHAnsi"/>
          <w:sz w:val="24"/>
        </w:rPr>
        <w:t xml:space="preserve">synthetic natural gas (BioSNG) </w:t>
      </w:r>
      <w:r w:rsidR="00D71CC7" w:rsidRPr="00F32834">
        <w:rPr>
          <w:rFonts w:asciiTheme="majorHAnsi" w:hAnsiTheme="majorHAnsi"/>
          <w:sz w:val="24"/>
        </w:rPr>
        <w:t>from</w:t>
      </w:r>
      <w:r w:rsidR="004E67FC" w:rsidRPr="00F32834">
        <w:rPr>
          <w:rFonts w:asciiTheme="majorHAnsi" w:hAnsiTheme="majorHAnsi"/>
          <w:sz w:val="24"/>
        </w:rPr>
        <w:t xml:space="preserve"> renewable resources </w:t>
      </w:r>
      <w:r w:rsidR="00587156" w:rsidRPr="00F32834">
        <w:rPr>
          <w:rFonts w:asciiTheme="majorHAnsi" w:hAnsiTheme="majorHAnsi"/>
          <w:sz w:val="24"/>
        </w:rPr>
        <w:t>emerges</w:t>
      </w:r>
      <w:r w:rsidR="003821B2" w:rsidRPr="00F32834">
        <w:rPr>
          <w:rFonts w:asciiTheme="majorHAnsi" w:hAnsiTheme="majorHAnsi"/>
          <w:sz w:val="24"/>
        </w:rPr>
        <w:t xml:space="preserve"> as an </w:t>
      </w:r>
      <w:r w:rsidR="00862CAC" w:rsidRPr="00F32834">
        <w:rPr>
          <w:rFonts w:asciiTheme="majorHAnsi" w:hAnsiTheme="majorHAnsi"/>
          <w:sz w:val="24"/>
        </w:rPr>
        <w:t>important alternative to be considered</w:t>
      </w:r>
      <w:r w:rsidR="00913A06" w:rsidRPr="00F32834">
        <w:rPr>
          <w:rFonts w:asciiTheme="majorHAnsi" w:hAnsiTheme="majorHAnsi"/>
          <w:sz w:val="24"/>
        </w:rPr>
        <w:t>.</w:t>
      </w:r>
    </w:p>
    <w:p w14:paraId="1B6C9A9B" w14:textId="77777777" w:rsidR="00587156" w:rsidRPr="00F32834" w:rsidRDefault="00587156" w:rsidP="00AC11DE">
      <w:pPr>
        <w:spacing w:after="0" w:line="240" w:lineRule="auto"/>
        <w:jc w:val="both"/>
        <w:rPr>
          <w:rFonts w:asciiTheme="majorHAnsi" w:hAnsiTheme="majorHAnsi"/>
          <w:sz w:val="24"/>
        </w:rPr>
      </w:pPr>
    </w:p>
    <w:p w14:paraId="2C2085CE" w14:textId="0DB9C8EC" w:rsidR="00EC3214" w:rsidRPr="00F32834" w:rsidRDefault="00F140B8" w:rsidP="00984ADB">
      <w:pPr>
        <w:spacing w:after="0" w:line="240" w:lineRule="auto"/>
        <w:ind w:firstLine="720"/>
        <w:jc w:val="both"/>
        <w:rPr>
          <w:rFonts w:asciiTheme="majorHAnsi" w:hAnsiTheme="majorHAnsi"/>
          <w:sz w:val="24"/>
        </w:rPr>
      </w:pPr>
      <w:r w:rsidRPr="00F32834">
        <w:rPr>
          <w:rFonts w:asciiTheme="majorHAnsi" w:hAnsiTheme="majorHAnsi"/>
          <w:sz w:val="24"/>
        </w:rPr>
        <w:t xml:space="preserve">While extensive </w:t>
      </w:r>
      <w:r w:rsidR="00340806" w:rsidRPr="00F32834">
        <w:rPr>
          <w:rFonts w:asciiTheme="majorHAnsi" w:hAnsiTheme="majorHAnsi"/>
          <w:sz w:val="24"/>
        </w:rPr>
        <w:t xml:space="preserve">research has been </w:t>
      </w:r>
      <w:r w:rsidR="00352E02" w:rsidRPr="00F32834">
        <w:rPr>
          <w:rFonts w:asciiTheme="majorHAnsi" w:hAnsiTheme="majorHAnsi"/>
          <w:sz w:val="24"/>
        </w:rPr>
        <w:t>devoted</w:t>
      </w:r>
      <w:r w:rsidR="00340806" w:rsidRPr="00F32834">
        <w:rPr>
          <w:rFonts w:asciiTheme="majorHAnsi" w:hAnsiTheme="majorHAnsi"/>
          <w:sz w:val="24"/>
        </w:rPr>
        <w:t xml:space="preserve"> </w:t>
      </w:r>
      <w:r w:rsidR="0022338F" w:rsidRPr="00F32834">
        <w:rPr>
          <w:rFonts w:asciiTheme="majorHAnsi" w:hAnsiTheme="majorHAnsi"/>
          <w:sz w:val="24"/>
        </w:rPr>
        <w:t xml:space="preserve">to develop efficient and scalable </w:t>
      </w:r>
      <w:r w:rsidR="002528A8" w:rsidRPr="00F32834">
        <w:rPr>
          <w:rFonts w:asciiTheme="majorHAnsi" w:hAnsiTheme="majorHAnsi"/>
          <w:sz w:val="24"/>
        </w:rPr>
        <w:t xml:space="preserve">technologies for the production of </w:t>
      </w:r>
      <w:r w:rsidR="003B1280" w:rsidRPr="00F32834">
        <w:rPr>
          <w:rFonts w:asciiTheme="majorHAnsi" w:hAnsiTheme="majorHAnsi"/>
          <w:sz w:val="24"/>
        </w:rPr>
        <w:t>BioSNG</w:t>
      </w:r>
      <w:r w:rsidR="00124630" w:rsidRPr="00F32834">
        <w:rPr>
          <w:rFonts w:asciiTheme="majorHAnsi" w:hAnsiTheme="majorHAnsi"/>
          <w:sz w:val="24"/>
        </w:rPr>
        <w:t xml:space="preserve"> </w:t>
      </w:r>
      <w:r w:rsidR="00352E02" w:rsidRPr="00F32834">
        <w:rPr>
          <w:rFonts w:asciiTheme="majorHAnsi" w:hAnsiTheme="majorHAnsi"/>
          <w:sz w:val="24"/>
        </w:rPr>
        <w:t xml:space="preserve">from different sources </w:t>
      </w:r>
      <w:r w:rsidRPr="00F32834">
        <w:rPr>
          <w:rFonts w:asciiTheme="majorHAnsi" w:hAnsiTheme="majorHAnsi"/>
          <w:sz w:val="24"/>
        </w:rPr>
        <w:t xml:space="preserve">(e.g. </w:t>
      </w:r>
      <w:r w:rsidR="00352E02" w:rsidRPr="00F32834">
        <w:rPr>
          <w:rFonts w:asciiTheme="majorHAnsi" w:hAnsiTheme="majorHAnsi"/>
          <w:sz w:val="24"/>
        </w:rPr>
        <w:t>wood, energy crops and municipal solid waste</w:t>
      </w:r>
      <w:r w:rsidRPr="00F32834">
        <w:rPr>
          <w:rFonts w:asciiTheme="majorHAnsi" w:hAnsiTheme="majorHAnsi"/>
          <w:sz w:val="24"/>
        </w:rPr>
        <w:t>), m</w:t>
      </w:r>
      <w:r w:rsidR="00FF5A99" w:rsidRPr="00F32834">
        <w:rPr>
          <w:rFonts w:asciiTheme="majorHAnsi" w:hAnsiTheme="majorHAnsi"/>
          <w:sz w:val="24"/>
        </w:rPr>
        <w:t xml:space="preserve">ost of the efforts have been focused on thermochemical routes. </w:t>
      </w:r>
      <w:r w:rsidR="00861622" w:rsidRPr="00F32834">
        <w:rPr>
          <w:rFonts w:asciiTheme="majorHAnsi" w:hAnsiTheme="majorHAnsi"/>
          <w:sz w:val="24"/>
        </w:rPr>
        <w:t>G</w:t>
      </w:r>
      <w:r w:rsidR="00AE6F33" w:rsidRPr="00F32834">
        <w:rPr>
          <w:rFonts w:asciiTheme="majorHAnsi" w:hAnsiTheme="majorHAnsi"/>
          <w:sz w:val="24"/>
        </w:rPr>
        <w:t xml:space="preserve">asification, </w:t>
      </w:r>
      <w:r w:rsidR="00CB0910" w:rsidRPr="00F32834">
        <w:rPr>
          <w:rFonts w:asciiTheme="majorHAnsi" w:hAnsiTheme="majorHAnsi"/>
          <w:sz w:val="24"/>
        </w:rPr>
        <w:t xml:space="preserve">whose </w:t>
      </w:r>
      <w:r w:rsidR="00DB7634" w:rsidRPr="00F32834">
        <w:rPr>
          <w:rFonts w:asciiTheme="majorHAnsi" w:hAnsiTheme="majorHAnsi"/>
          <w:sz w:val="24"/>
        </w:rPr>
        <w:t xml:space="preserve">applicability has been extensively demonstrated for </w:t>
      </w:r>
      <w:r w:rsidR="00CB0910" w:rsidRPr="00F32834">
        <w:rPr>
          <w:rFonts w:asciiTheme="majorHAnsi" w:hAnsiTheme="majorHAnsi"/>
          <w:sz w:val="24"/>
        </w:rPr>
        <w:t xml:space="preserve">coal, </w:t>
      </w:r>
      <w:r w:rsidR="00DB7634" w:rsidRPr="00F32834">
        <w:rPr>
          <w:rFonts w:asciiTheme="majorHAnsi" w:hAnsiTheme="majorHAnsi"/>
          <w:sz w:val="24"/>
        </w:rPr>
        <w:t>represent</w:t>
      </w:r>
      <w:r w:rsidR="00861622" w:rsidRPr="00F32834">
        <w:rPr>
          <w:rFonts w:asciiTheme="majorHAnsi" w:hAnsiTheme="majorHAnsi"/>
          <w:sz w:val="24"/>
        </w:rPr>
        <w:t>s one of the emerging commercial technologies for thermal conversion of biomass.</w:t>
      </w:r>
      <w:r w:rsidR="00ED4627" w:rsidRPr="00F32834">
        <w:rPr>
          <w:rFonts w:asciiTheme="majorHAnsi" w:hAnsiTheme="majorHAnsi"/>
          <w:sz w:val="24"/>
        </w:rPr>
        <w:t xml:space="preserve"> Biomass gasification is a very efficient technology </w:t>
      </w:r>
      <w:r w:rsidR="005D187D" w:rsidRPr="00F32834">
        <w:rPr>
          <w:rFonts w:asciiTheme="majorHAnsi" w:hAnsiTheme="majorHAnsi"/>
          <w:sz w:val="24"/>
        </w:rPr>
        <w:t>with the potential of becoming a critical stage in the production of</w:t>
      </w:r>
      <w:r w:rsidR="00ED4627" w:rsidRPr="00F32834">
        <w:rPr>
          <w:rFonts w:asciiTheme="majorHAnsi" w:hAnsiTheme="majorHAnsi"/>
          <w:sz w:val="24"/>
        </w:rPr>
        <w:t xml:space="preserve"> </w:t>
      </w:r>
      <w:r w:rsidR="00355EB5" w:rsidRPr="00F32834">
        <w:rPr>
          <w:rFonts w:asciiTheme="majorHAnsi" w:hAnsiTheme="majorHAnsi"/>
          <w:sz w:val="24"/>
        </w:rPr>
        <w:t>synthetic fuels</w:t>
      </w:r>
      <w:r w:rsidR="00646889">
        <w:rPr>
          <w:rFonts w:asciiTheme="majorHAnsi" w:hAnsiTheme="majorHAnsi"/>
          <w:sz w:val="24"/>
        </w:rPr>
        <w:t xml:space="preserve"> </w:t>
      </w:r>
      <w:r w:rsidR="00646889">
        <w:rPr>
          <w:rFonts w:asciiTheme="majorHAnsi" w:hAnsiTheme="majorHAnsi"/>
          <w:sz w:val="24"/>
        </w:rPr>
        <w:fldChar w:fldCharType="begin" w:fldLock="1"/>
      </w:r>
      <w:r w:rsidR="00984ADB">
        <w:rPr>
          <w:rFonts w:asciiTheme="majorHAnsi" w:hAnsiTheme="majorHAnsi"/>
          <w:sz w:val="24"/>
        </w:rPr>
        <w:instrText>ADDIN CSL_CITATION { "citationItems" : [ { "id" : "ITEM-1", "itemData" : { "DOI" : "10.1016/j.biombioe.2009.11.001", "ISSN" : "09619534", "author" : [ { "dropping-particle" : "", "family" : "Meijden", "given" : "Christiaan M.", "non-dropping-particle" : "van der", "parse-names" : false, "suffix" : "" }, { "dropping-particle" : "", "family" : "Veringa", "given" : "Hubert J.", "non-dropping-particle" : "", "parse-names" : false, "suffix" : "" }, { "dropping-particle" : "", "family" : "Rabou", "given" : "Luc P.L.M.", "non-dropping-particle" : "", "parse-names" : false, "suffix" : "" } ], "container-title" : "Biomass and Bioenergy", "id" : "ITEM-1", "issue" : "3", "issued" : { "date-parts" : [ [ "2010", "3" ] ] }, "page" : "302-311", "publisher" : "Elsevier Ltd", "title" : "The production of synthetic natural gas (SNG): A comparison of three wood gasification systems for energy balance and overall efficiency", "type" : "article-journal", "volume" : "34" }, "uris" : [ "http://www.mendeley.com/documents/?uuid=d2fbc233-6d6b-4ea7-91de-34be006ca40b" ] }, { "id" : "ITEM-2", "itemData" : { "abstract" : "Harris Group Inc. (HGI) was commissioned by the National Renewable Energy Laboratory to assess gasification and tar reforming technologies. Specifically, the assessments focused on gasification and tar reforming technologies that are capable of producing a syngas suitable for further treatment and conversion to liquid fuels. HGI gathered sufficient information to analyze three gasification and tar reforming systems. This report summarizes the equipment, general arrangement of the equipment, operating characteristics, and operating severity for each technology. The order of magnitude capital cost estimates are supported by a basis-of-estimate write-up, which is also included in this report. The report also includes Microsoft Excel workbook models, which can be used to design and price the systems. The models can be used to analyze various operating capacities and pressures. Each model produces a material balance, equipment list, capital cost estimate, equipment drawings and preliminary general arrangement drawings. Example outputs of each model are included in the Appendices.", "author" : [ { "dropping-particle" : "", "family" : "NREL", "given" : "", "non-dropping-particle" : "", "parse-names" : false, "suffix" : "" } ], "id" : "ITEM-2", "issue" : "November", "issued" : { "date-parts" : [ [ "2012" ] ] }, "title" : "Biomass Gasification Technology Assessment Consolidated Report", "type" : "report" }, "uris" : [ "http://www.mendeley.com/documents/?uuid=69421731-07c9-41cc-a328-3ee99557bea4" ] } ], "mendeley" : { "previouslyFormattedCitation" : "(NREL, 2012; van der Meijden, Veringa, &amp; Rabou, 2010)" }, "properties" : { "noteIndex" : 0 }, "schema" : "https://github.com/citation-style-language/schema/raw/master/csl-citation.json" }</w:instrText>
      </w:r>
      <w:r w:rsidR="00646889">
        <w:rPr>
          <w:rFonts w:asciiTheme="majorHAnsi" w:hAnsiTheme="majorHAnsi"/>
          <w:sz w:val="24"/>
        </w:rPr>
        <w:fldChar w:fldCharType="separate"/>
      </w:r>
      <w:r w:rsidR="00984ADB" w:rsidRPr="00984ADB">
        <w:rPr>
          <w:rFonts w:asciiTheme="majorHAnsi" w:hAnsiTheme="majorHAnsi"/>
          <w:noProof/>
          <w:sz w:val="24"/>
        </w:rPr>
        <w:t>(NREL, 2012; van der Meijden, Veringa, &amp; Rabou, 2010)</w:t>
      </w:r>
      <w:r w:rsidR="00646889">
        <w:rPr>
          <w:rFonts w:asciiTheme="majorHAnsi" w:hAnsiTheme="majorHAnsi"/>
          <w:sz w:val="24"/>
        </w:rPr>
        <w:fldChar w:fldCharType="end"/>
      </w:r>
      <w:r w:rsidR="00355EB5" w:rsidRPr="00F32834">
        <w:rPr>
          <w:rFonts w:asciiTheme="majorHAnsi" w:hAnsiTheme="majorHAnsi"/>
          <w:sz w:val="24"/>
        </w:rPr>
        <w:t xml:space="preserve">. </w:t>
      </w:r>
    </w:p>
    <w:p w14:paraId="4F41AF8F" w14:textId="77777777" w:rsidR="00355EB5" w:rsidRPr="00F32834" w:rsidRDefault="00355EB5" w:rsidP="00AB4BA0">
      <w:pPr>
        <w:spacing w:after="0" w:line="240" w:lineRule="auto"/>
        <w:jc w:val="both"/>
        <w:rPr>
          <w:rFonts w:asciiTheme="majorHAnsi" w:hAnsiTheme="majorHAnsi"/>
          <w:sz w:val="24"/>
        </w:rPr>
      </w:pPr>
    </w:p>
    <w:p w14:paraId="282429C8" w14:textId="17B862C4" w:rsidR="00C154BE" w:rsidRPr="00F32834" w:rsidRDefault="00355EB5" w:rsidP="00984ADB">
      <w:pPr>
        <w:spacing w:after="0" w:line="240" w:lineRule="auto"/>
        <w:ind w:firstLine="720"/>
        <w:jc w:val="both"/>
        <w:rPr>
          <w:rFonts w:asciiTheme="majorHAnsi" w:hAnsiTheme="majorHAnsi"/>
          <w:sz w:val="24"/>
        </w:rPr>
      </w:pPr>
      <w:r w:rsidRPr="00F32834">
        <w:rPr>
          <w:rFonts w:asciiTheme="majorHAnsi" w:hAnsiTheme="majorHAnsi"/>
          <w:sz w:val="24"/>
        </w:rPr>
        <w:t xml:space="preserve">Despite all best efforts, production of BioSNG is rarely regarded as profitable, with high investment costs being a key obstacle in the economy of biofuels production. </w:t>
      </w:r>
      <w:r w:rsidR="00C154BE" w:rsidRPr="00F32834">
        <w:rPr>
          <w:rFonts w:asciiTheme="majorHAnsi" w:hAnsiTheme="majorHAnsi"/>
          <w:sz w:val="24"/>
        </w:rPr>
        <w:t xml:space="preserve">Several authors are working on the development of </w:t>
      </w:r>
      <w:r w:rsidR="00211D84" w:rsidRPr="00F32834">
        <w:rPr>
          <w:rFonts w:asciiTheme="majorHAnsi" w:hAnsiTheme="majorHAnsi"/>
          <w:sz w:val="24"/>
        </w:rPr>
        <w:t xml:space="preserve">pre-treatment </w:t>
      </w:r>
      <w:r w:rsidR="00C154BE" w:rsidRPr="00F32834">
        <w:rPr>
          <w:rFonts w:asciiTheme="majorHAnsi" w:hAnsiTheme="majorHAnsi"/>
          <w:sz w:val="24"/>
        </w:rPr>
        <w:t>technologies as a previous step of gasification to obtain intermediate products with higher energy density.  The implementation of these technologies may improve the economics of the global production chain by reducing both transport costs and the size of installed capacities required for gasification</w:t>
      </w:r>
      <w:r w:rsidR="00984ADB">
        <w:rPr>
          <w:rFonts w:asciiTheme="majorHAnsi" w:hAnsiTheme="majorHAnsi"/>
          <w:sz w:val="24"/>
        </w:rPr>
        <w:t xml:space="preserve"> </w:t>
      </w:r>
      <w:r w:rsidR="00984ADB">
        <w:rPr>
          <w:rFonts w:asciiTheme="majorHAnsi" w:hAnsiTheme="majorHAnsi"/>
          <w:sz w:val="24"/>
        </w:rPr>
        <w:fldChar w:fldCharType="begin" w:fldLock="1"/>
      </w:r>
      <w:r w:rsidR="00984ADB">
        <w:rPr>
          <w:rFonts w:asciiTheme="majorHAnsi" w:hAnsiTheme="majorHAnsi"/>
          <w:sz w:val="24"/>
        </w:rPr>
        <w:instrText>ADDIN CSL_CITATION { "citationItems" : [ { "id" : "ITEM-1", "itemData" : { "DOI" : "10.1016/j.energy.2008.03.007", "ISSN" : "03605442", "author" : [ { "dropping-particle" : "", "family" : "Uslu", "given" : "Ayla", "non-dropping-particle" : "", "parse-names" : false, "suffix" : "" }, { "dropping-particle" : "", "family" : "Faaij", "given" : "Andr\u00e9 P.C.", "non-dropping-particle" : "", "parse-names" : false, "suffix" : "" }, { "dropping-particle" : "", "family" : "Bergman", "given" : "P.C.a.", "non-dropping-particle" : "", "parse-names" : false, "suffix" : "" } ], "container-title" : "Energy", "id" : "ITEM-1", "issue" : "8", "issued" : { "date-parts" : [ [ "2008", "8" ] ] }, "page" : "1206-1223", "title" : "Pre-treatment technologies, and their effect on international bioenergy supply chain logistics. Techno-economic evaluation of torrefaction, fast pyrolysis and pelletisation", "type" : "article-journal", "volume" : "33" }, "uris" : [ "http://www.mendeley.com/documents/?uuid=fc85e9ee-265d-467b-bd5a-a47a370054a9" ] }, { "id" : "ITEM-2", "itemData" : { "DOI" : "10.1002/bbb", "author" : [ { "dropping-particle" : "", "family" : "Magalh\u00e3es", "given" : "Ana I P", "non-dropping-particle" : "", "parse-names" : false, "suffix" : "" }, { "dropping-particle" : "", "family" : "Petrovic", "given" : "Dragana", "non-dropping-particle" : "", "parse-names" : false, "suffix" : "" }, { "dropping-particle" : "", "family" : "Rodriguez", "given" : "Alex L", "non-dropping-particle" : "", "parse-names" : false, "suffix" : "" }, { "dropping-particle" : "", "family" : "Putra", "given" : "Zulfan Adi", "non-dropping-particle" : "", "parse-names" : false, "suffix" : "" }, { "dropping-particle" : "", "family" : "Thielemans", "given" : "Geert", "non-dropping-particle" : "", "parse-names" : false, "suffix" : "" } ], "container-title" : "Biofuels, Bioproducts &amp; Biorefining", "id" : "ITEM-2", "issued" : { "date-parts" : [ [ "2009" ] ] }, "page" : "584-600", "title" : "Techno-economic assessment of biomass pre-conversion of biomass-to-liquids line-up", "type" : "article-journal", "volume" : "3" }, "uris" : [ "http://www.mendeley.com/documents/?uuid=d049b51d-ad98-4c0a-b675-ceaa0e2bf7cb" ] } ], "mendeley" : { "previouslyFormattedCitation" : "(Magalh\u00e3es, Petrovic, Rodriguez, Putra, &amp; Thielemans, 2009; Uslu, Faaij, &amp; Bergman, 2008)" }, "properties" : { "noteIndex" : 0 }, "schema" : "https://github.com/citation-style-language/schema/raw/master/csl-citation.json" }</w:instrText>
      </w:r>
      <w:r w:rsidR="00984ADB">
        <w:rPr>
          <w:rFonts w:asciiTheme="majorHAnsi" w:hAnsiTheme="majorHAnsi"/>
          <w:sz w:val="24"/>
        </w:rPr>
        <w:fldChar w:fldCharType="separate"/>
      </w:r>
      <w:r w:rsidR="00984ADB" w:rsidRPr="00984ADB">
        <w:rPr>
          <w:rFonts w:asciiTheme="majorHAnsi" w:hAnsiTheme="majorHAnsi"/>
          <w:noProof/>
          <w:sz w:val="24"/>
        </w:rPr>
        <w:t>(Magalhães, Petrovic, Rodriguez, Putra, &amp; Thielemans, 2009; Uslu, Faaij, &amp; Bergman, 2008)</w:t>
      </w:r>
      <w:r w:rsidR="00984ADB">
        <w:rPr>
          <w:rFonts w:asciiTheme="majorHAnsi" w:hAnsiTheme="majorHAnsi"/>
          <w:sz w:val="24"/>
        </w:rPr>
        <w:fldChar w:fldCharType="end"/>
      </w:r>
      <w:r w:rsidR="00C154BE" w:rsidRPr="00F32834">
        <w:rPr>
          <w:rFonts w:asciiTheme="majorHAnsi" w:hAnsiTheme="majorHAnsi"/>
          <w:sz w:val="24"/>
        </w:rPr>
        <w:t>.</w:t>
      </w:r>
    </w:p>
    <w:p w14:paraId="1EDD830B" w14:textId="6A9590DF" w:rsidR="00211D84" w:rsidRDefault="00AB4BA0" w:rsidP="00984ADB">
      <w:pPr>
        <w:spacing w:after="0" w:line="240" w:lineRule="auto"/>
        <w:ind w:firstLine="720"/>
        <w:jc w:val="both"/>
        <w:rPr>
          <w:rFonts w:asciiTheme="majorHAnsi" w:hAnsiTheme="majorHAnsi"/>
          <w:sz w:val="24"/>
        </w:rPr>
      </w:pPr>
      <w:r w:rsidRPr="00F32834">
        <w:rPr>
          <w:rFonts w:asciiTheme="majorHAnsi" w:hAnsiTheme="majorHAnsi"/>
          <w:sz w:val="24"/>
        </w:rPr>
        <w:lastRenderedPageBreak/>
        <w:t xml:space="preserve">Unfortunately, there </w:t>
      </w:r>
      <w:r w:rsidR="00B113EF" w:rsidRPr="00F32834">
        <w:rPr>
          <w:rFonts w:asciiTheme="majorHAnsi" w:hAnsiTheme="majorHAnsi"/>
          <w:sz w:val="24"/>
        </w:rPr>
        <w:t xml:space="preserve">are </w:t>
      </w:r>
      <w:r w:rsidRPr="00F32834">
        <w:rPr>
          <w:rFonts w:asciiTheme="majorHAnsi" w:hAnsiTheme="majorHAnsi"/>
          <w:sz w:val="24"/>
        </w:rPr>
        <w:t xml:space="preserve">still </w:t>
      </w:r>
      <w:r w:rsidR="0000370D" w:rsidRPr="00F32834">
        <w:rPr>
          <w:rFonts w:asciiTheme="majorHAnsi" w:hAnsiTheme="majorHAnsi"/>
          <w:sz w:val="24"/>
        </w:rPr>
        <w:t>numerous</w:t>
      </w:r>
      <w:r w:rsidR="00B113EF" w:rsidRPr="00F32834">
        <w:rPr>
          <w:rFonts w:asciiTheme="majorHAnsi" w:hAnsiTheme="majorHAnsi"/>
          <w:sz w:val="24"/>
        </w:rPr>
        <w:t xml:space="preserve"> aspects </w:t>
      </w:r>
      <w:r w:rsidR="0000370D" w:rsidRPr="00F32834">
        <w:rPr>
          <w:rFonts w:asciiTheme="majorHAnsi" w:hAnsiTheme="majorHAnsi"/>
          <w:sz w:val="24"/>
        </w:rPr>
        <w:t>to</w:t>
      </w:r>
      <w:r w:rsidR="00B113EF" w:rsidRPr="00F32834">
        <w:rPr>
          <w:rFonts w:asciiTheme="majorHAnsi" w:hAnsiTheme="majorHAnsi"/>
          <w:sz w:val="24"/>
        </w:rPr>
        <w:t xml:space="preserve"> be consider</w:t>
      </w:r>
      <w:r w:rsidR="009C125D" w:rsidRPr="00F32834">
        <w:rPr>
          <w:rFonts w:asciiTheme="majorHAnsi" w:hAnsiTheme="majorHAnsi"/>
          <w:sz w:val="24"/>
        </w:rPr>
        <w:t>ed</w:t>
      </w:r>
      <w:r w:rsidR="00B113EF" w:rsidRPr="00F32834">
        <w:rPr>
          <w:rFonts w:asciiTheme="majorHAnsi" w:hAnsiTheme="majorHAnsi"/>
          <w:sz w:val="24"/>
        </w:rPr>
        <w:t xml:space="preserve"> </w:t>
      </w:r>
      <w:r w:rsidR="009C125D" w:rsidRPr="00F32834">
        <w:rPr>
          <w:rFonts w:asciiTheme="majorHAnsi" w:hAnsiTheme="majorHAnsi"/>
          <w:sz w:val="24"/>
        </w:rPr>
        <w:t xml:space="preserve">to </w:t>
      </w:r>
      <w:r w:rsidR="0000370D" w:rsidRPr="00F32834">
        <w:rPr>
          <w:rFonts w:asciiTheme="majorHAnsi" w:hAnsiTheme="majorHAnsi"/>
          <w:sz w:val="24"/>
        </w:rPr>
        <w:t>achieve</w:t>
      </w:r>
      <w:r w:rsidR="009C125D" w:rsidRPr="00F32834">
        <w:rPr>
          <w:rFonts w:asciiTheme="majorHAnsi" w:hAnsiTheme="majorHAnsi"/>
          <w:sz w:val="24"/>
        </w:rPr>
        <w:t xml:space="preserve"> a better understanding </w:t>
      </w:r>
      <w:r w:rsidR="004B60F9" w:rsidRPr="00F32834">
        <w:rPr>
          <w:rFonts w:asciiTheme="majorHAnsi" w:hAnsiTheme="majorHAnsi"/>
          <w:sz w:val="24"/>
        </w:rPr>
        <w:t xml:space="preserve">of the system and </w:t>
      </w:r>
      <w:r w:rsidRPr="00F32834">
        <w:rPr>
          <w:rFonts w:asciiTheme="majorHAnsi" w:hAnsiTheme="majorHAnsi"/>
          <w:sz w:val="24"/>
        </w:rPr>
        <w:t xml:space="preserve">identify </w:t>
      </w:r>
      <w:r w:rsidR="001F5E13" w:rsidRPr="00F32834">
        <w:rPr>
          <w:rFonts w:asciiTheme="majorHAnsi" w:hAnsiTheme="majorHAnsi"/>
          <w:sz w:val="24"/>
        </w:rPr>
        <w:t xml:space="preserve">synergies inherent to the nature of the problem. </w:t>
      </w:r>
      <w:r w:rsidR="007146AE" w:rsidRPr="00F32834">
        <w:rPr>
          <w:rFonts w:asciiTheme="majorHAnsi" w:hAnsiTheme="majorHAnsi"/>
          <w:sz w:val="24"/>
        </w:rPr>
        <w:t xml:space="preserve">In order to address the problem, </w:t>
      </w:r>
      <w:r w:rsidRPr="00F32834">
        <w:rPr>
          <w:rFonts w:asciiTheme="majorHAnsi" w:hAnsiTheme="majorHAnsi"/>
          <w:sz w:val="24"/>
        </w:rPr>
        <w:t xml:space="preserve">this paper presents </w:t>
      </w:r>
      <w:r w:rsidR="00F63D87" w:rsidRPr="00F32834">
        <w:rPr>
          <w:rFonts w:asciiTheme="majorHAnsi" w:hAnsiTheme="majorHAnsi"/>
          <w:sz w:val="24"/>
        </w:rPr>
        <w:t xml:space="preserve">a </w:t>
      </w:r>
      <w:r w:rsidR="008F7DB2" w:rsidRPr="00F32834">
        <w:rPr>
          <w:rFonts w:asciiTheme="majorHAnsi" w:hAnsiTheme="majorHAnsi"/>
          <w:sz w:val="24"/>
        </w:rPr>
        <w:t>spatially explicit</w:t>
      </w:r>
      <w:r w:rsidR="008F7DB2">
        <w:rPr>
          <w:rFonts w:asciiTheme="majorHAnsi" w:hAnsiTheme="majorHAnsi"/>
          <w:sz w:val="24"/>
        </w:rPr>
        <w:t>,</w:t>
      </w:r>
      <w:r w:rsidR="008F7DB2" w:rsidRPr="00F32834">
        <w:rPr>
          <w:rFonts w:asciiTheme="majorHAnsi" w:hAnsiTheme="majorHAnsi"/>
          <w:sz w:val="24"/>
        </w:rPr>
        <w:t xml:space="preserve"> </w:t>
      </w:r>
      <w:r w:rsidR="008F7DB2">
        <w:rPr>
          <w:rFonts w:asciiTheme="majorHAnsi" w:hAnsiTheme="majorHAnsi"/>
          <w:sz w:val="24"/>
        </w:rPr>
        <w:t xml:space="preserve">multi-period mixed integer linear programming (MILP) </w:t>
      </w:r>
      <w:r w:rsidR="00F63D87" w:rsidRPr="00F32834">
        <w:rPr>
          <w:rFonts w:asciiTheme="majorHAnsi" w:hAnsiTheme="majorHAnsi"/>
          <w:sz w:val="24"/>
        </w:rPr>
        <w:t>to address the strategic design of a second generation supply chain for BioSNG production. The decisions include feedstock logistic (transport modes, capacities, destinations); technology selection, locations and scales of BioSNG production facilities; economies of scale; location and cultivation rate of new energy crops; BioSNG production rates and transportation logistics</w:t>
      </w:r>
      <w:r w:rsidR="00211D84" w:rsidRPr="00F32834">
        <w:rPr>
          <w:rFonts w:asciiTheme="majorHAnsi" w:hAnsiTheme="majorHAnsi"/>
          <w:sz w:val="24"/>
        </w:rPr>
        <w:t xml:space="preserve"> </w:t>
      </w:r>
      <w:r w:rsidR="00F63D87" w:rsidRPr="00F32834">
        <w:rPr>
          <w:rFonts w:asciiTheme="majorHAnsi" w:hAnsiTheme="majorHAnsi"/>
          <w:sz w:val="24"/>
        </w:rPr>
        <w:t xml:space="preserve"> as well as optional generation of heat and power</w:t>
      </w:r>
      <w:r w:rsidR="00BD1B89" w:rsidRPr="00F32834">
        <w:rPr>
          <w:rFonts w:asciiTheme="majorHAnsi" w:hAnsiTheme="majorHAnsi"/>
          <w:sz w:val="24"/>
        </w:rPr>
        <w:t>.</w:t>
      </w:r>
      <w:r w:rsidR="00211D84" w:rsidRPr="00F32834">
        <w:rPr>
          <w:rFonts w:asciiTheme="majorHAnsi" w:hAnsiTheme="majorHAnsi"/>
          <w:sz w:val="24"/>
        </w:rPr>
        <w:t xml:space="preserve"> </w:t>
      </w:r>
    </w:p>
    <w:p w14:paraId="18CE8E74" w14:textId="77777777" w:rsidR="00984ADB" w:rsidRPr="00F32834" w:rsidRDefault="00984ADB" w:rsidP="00984ADB">
      <w:pPr>
        <w:spacing w:after="0" w:line="240" w:lineRule="auto"/>
        <w:ind w:firstLine="720"/>
        <w:jc w:val="both"/>
        <w:rPr>
          <w:rFonts w:asciiTheme="majorHAnsi" w:hAnsiTheme="majorHAnsi"/>
          <w:sz w:val="24"/>
        </w:rPr>
      </w:pPr>
    </w:p>
    <w:p w14:paraId="3666EAFB" w14:textId="62C584EF" w:rsidR="00BE597F" w:rsidRDefault="001F5E13" w:rsidP="00984ADB">
      <w:pPr>
        <w:spacing w:after="0" w:line="240" w:lineRule="auto"/>
        <w:ind w:firstLine="720"/>
        <w:jc w:val="both"/>
        <w:rPr>
          <w:rFonts w:asciiTheme="majorHAnsi" w:hAnsiTheme="majorHAnsi"/>
          <w:sz w:val="24"/>
        </w:rPr>
      </w:pPr>
      <w:r w:rsidRPr="00F32834">
        <w:rPr>
          <w:rFonts w:asciiTheme="majorHAnsi" w:hAnsiTheme="majorHAnsi"/>
          <w:sz w:val="24"/>
        </w:rPr>
        <w:t xml:space="preserve">A case study </w:t>
      </w:r>
      <w:r w:rsidR="0000370D" w:rsidRPr="00F32834">
        <w:rPr>
          <w:rFonts w:asciiTheme="majorHAnsi" w:hAnsiTheme="majorHAnsi"/>
          <w:sz w:val="24"/>
        </w:rPr>
        <w:t>of the</w:t>
      </w:r>
      <w:r w:rsidRPr="00F32834">
        <w:rPr>
          <w:rFonts w:asciiTheme="majorHAnsi" w:hAnsiTheme="majorHAnsi"/>
          <w:sz w:val="24"/>
        </w:rPr>
        <w:t xml:space="preserve"> UK is </w:t>
      </w:r>
      <w:r w:rsidR="00211D84" w:rsidRPr="00F32834">
        <w:rPr>
          <w:rFonts w:asciiTheme="majorHAnsi" w:hAnsiTheme="majorHAnsi"/>
          <w:sz w:val="24"/>
        </w:rPr>
        <w:t>proposed</w:t>
      </w:r>
      <w:r w:rsidRPr="00F32834">
        <w:rPr>
          <w:rFonts w:asciiTheme="majorHAnsi" w:hAnsiTheme="majorHAnsi"/>
          <w:sz w:val="24"/>
        </w:rPr>
        <w:t xml:space="preserve"> to demonstrate </w:t>
      </w:r>
      <w:r w:rsidR="00510CDF" w:rsidRPr="00F32834">
        <w:rPr>
          <w:rFonts w:asciiTheme="majorHAnsi" w:hAnsiTheme="majorHAnsi"/>
          <w:sz w:val="24"/>
        </w:rPr>
        <w:t>the applicability of the model.</w:t>
      </w:r>
      <w:r w:rsidR="00211D84" w:rsidRPr="00F32834">
        <w:rPr>
          <w:rFonts w:asciiTheme="majorHAnsi" w:hAnsiTheme="majorHAnsi"/>
          <w:sz w:val="24"/>
        </w:rPr>
        <w:t xml:space="preserve"> </w:t>
      </w:r>
      <w:r w:rsidR="00B9530F" w:rsidRPr="00F32834">
        <w:rPr>
          <w:rFonts w:asciiTheme="majorHAnsi" w:hAnsiTheme="majorHAnsi"/>
          <w:sz w:val="24"/>
        </w:rPr>
        <w:t xml:space="preserve">The relevance of pre-treatment technologies on the production of BioSNG is studied in a national context. </w:t>
      </w:r>
      <w:r w:rsidR="00F15319" w:rsidRPr="00F32834">
        <w:rPr>
          <w:rFonts w:asciiTheme="majorHAnsi" w:hAnsiTheme="majorHAnsi"/>
          <w:sz w:val="24"/>
        </w:rPr>
        <w:t>In addition, it is also evaluated t</w:t>
      </w:r>
      <w:r w:rsidR="00B9530F" w:rsidRPr="00F32834">
        <w:rPr>
          <w:rFonts w:asciiTheme="majorHAnsi" w:hAnsiTheme="majorHAnsi"/>
          <w:sz w:val="24"/>
        </w:rPr>
        <w:t xml:space="preserve">he impact </w:t>
      </w:r>
      <w:r w:rsidR="00F15319" w:rsidRPr="00F32834">
        <w:rPr>
          <w:rFonts w:asciiTheme="majorHAnsi" w:hAnsiTheme="majorHAnsi"/>
          <w:sz w:val="24"/>
        </w:rPr>
        <w:t xml:space="preserve">of power generation </w:t>
      </w:r>
      <w:r w:rsidR="00B9530F" w:rsidRPr="00F32834">
        <w:rPr>
          <w:rFonts w:asciiTheme="majorHAnsi" w:hAnsiTheme="majorHAnsi"/>
          <w:sz w:val="24"/>
        </w:rPr>
        <w:t xml:space="preserve">on the </w:t>
      </w:r>
      <w:r w:rsidR="00F15319" w:rsidRPr="00F32834">
        <w:rPr>
          <w:rFonts w:asciiTheme="majorHAnsi" w:hAnsiTheme="majorHAnsi"/>
          <w:sz w:val="24"/>
        </w:rPr>
        <w:t xml:space="preserve">economics of BioSNG production </w:t>
      </w:r>
      <w:r w:rsidR="00B9530F" w:rsidRPr="00F32834">
        <w:rPr>
          <w:rFonts w:asciiTheme="majorHAnsi" w:hAnsiTheme="majorHAnsi"/>
          <w:sz w:val="24"/>
        </w:rPr>
        <w:t xml:space="preserve">as well as the </w:t>
      </w:r>
      <w:r w:rsidR="00F15319" w:rsidRPr="00F32834">
        <w:rPr>
          <w:rFonts w:asciiTheme="majorHAnsi" w:hAnsiTheme="majorHAnsi"/>
          <w:sz w:val="24"/>
        </w:rPr>
        <w:t>mechanisms implemented by the government to support the sustainable generation of synthetic fuels.</w:t>
      </w:r>
    </w:p>
    <w:p w14:paraId="5454C021" w14:textId="77777777" w:rsidR="008C2F3D" w:rsidRDefault="008C2F3D" w:rsidP="00BE597F">
      <w:pPr>
        <w:spacing w:after="0" w:line="240" w:lineRule="auto"/>
        <w:jc w:val="both"/>
        <w:rPr>
          <w:rFonts w:asciiTheme="majorHAnsi" w:hAnsiTheme="majorHAnsi"/>
          <w:sz w:val="24"/>
        </w:rPr>
      </w:pPr>
    </w:p>
    <w:p w14:paraId="1D6EF16C" w14:textId="77777777" w:rsidR="008C2F3D" w:rsidRDefault="008C2F3D" w:rsidP="00BE597F">
      <w:pPr>
        <w:spacing w:after="0" w:line="240" w:lineRule="auto"/>
        <w:jc w:val="both"/>
        <w:rPr>
          <w:rFonts w:asciiTheme="majorHAnsi" w:hAnsiTheme="majorHAnsi"/>
          <w:sz w:val="24"/>
        </w:rPr>
      </w:pPr>
    </w:p>
    <w:p w14:paraId="2F138096" w14:textId="77777777" w:rsidR="00984ADB" w:rsidRPr="00DB728B" w:rsidRDefault="00984ADB" w:rsidP="00984ADB">
      <w:pPr>
        <w:pStyle w:val="TituloGeneral"/>
        <w:jc w:val="left"/>
        <w:rPr>
          <w:rFonts w:ascii="Cambria" w:hAnsi="Cambria"/>
          <w:sz w:val="28"/>
          <w:szCs w:val="28"/>
          <w:lang w:val="en-US"/>
        </w:rPr>
      </w:pPr>
      <w:r w:rsidRPr="00DB728B">
        <w:rPr>
          <w:rFonts w:ascii="Cambria" w:hAnsi="Cambria"/>
          <w:sz w:val="28"/>
          <w:szCs w:val="28"/>
          <w:lang w:val="en-US"/>
        </w:rPr>
        <w:t>References</w:t>
      </w:r>
    </w:p>
    <w:p w14:paraId="107DEA9F" w14:textId="62D551AC" w:rsidR="00984ADB" w:rsidRPr="00984ADB" w:rsidRDefault="008C2F3D">
      <w:pPr>
        <w:pStyle w:val="NormalWeb"/>
        <w:ind w:left="480" w:hanging="480"/>
        <w:divId w:val="397482226"/>
        <w:rPr>
          <w:rFonts w:ascii="Cambria" w:hAnsi="Cambria"/>
          <w:noProof/>
        </w:rPr>
      </w:pPr>
      <w:r>
        <w:rPr>
          <w:rFonts w:asciiTheme="majorHAnsi" w:hAnsiTheme="majorHAnsi"/>
        </w:rPr>
        <w:fldChar w:fldCharType="begin" w:fldLock="1"/>
      </w:r>
      <w:r>
        <w:rPr>
          <w:rFonts w:asciiTheme="majorHAnsi" w:hAnsiTheme="majorHAnsi"/>
        </w:rPr>
        <w:instrText xml:space="preserve">ADDIN Mendeley Bibliography CSL_BIBLIOGRAPHY </w:instrText>
      </w:r>
      <w:r>
        <w:rPr>
          <w:rFonts w:asciiTheme="majorHAnsi" w:hAnsiTheme="majorHAnsi"/>
        </w:rPr>
        <w:fldChar w:fldCharType="separate"/>
      </w:r>
      <w:r w:rsidR="00984ADB" w:rsidRPr="00984ADB">
        <w:rPr>
          <w:rFonts w:ascii="Cambria" w:hAnsi="Cambria"/>
          <w:noProof/>
        </w:rPr>
        <w:t xml:space="preserve">EA. (2013). </w:t>
      </w:r>
      <w:r w:rsidR="00984ADB" w:rsidRPr="00984ADB">
        <w:rPr>
          <w:rFonts w:ascii="Cambria" w:hAnsi="Cambria"/>
          <w:i/>
          <w:iCs/>
          <w:noProof/>
        </w:rPr>
        <w:t>An Environmental Risk Assessment for shale gas exploratory operations in England</w:t>
      </w:r>
      <w:r w:rsidR="00984ADB" w:rsidRPr="00984ADB">
        <w:rPr>
          <w:rFonts w:ascii="Cambria" w:hAnsi="Cambria"/>
          <w:noProof/>
        </w:rPr>
        <w:t xml:space="preserve"> (pp. 1–32). Retrieved from https://www.gov.uk/government/uploads/system/uploads/attachment_data/file/296949/LIT_8474_fbb1d4.pdf</w:t>
      </w:r>
    </w:p>
    <w:p w14:paraId="499E8112" w14:textId="77777777" w:rsidR="00984ADB" w:rsidRPr="00984ADB" w:rsidRDefault="00984ADB">
      <w:pPr>
        <w:pStyle w:val="NormalWeb"/>
        <w:ind w:left="480" w:hanging="480"/>
        <w:divId w:val="397482226"/>
        <w:rPr>
          <w:rFonts w:ascii="Cambria" w:hAnsi="Cambria"/>
          <w:noProof/>
        </w:rPr>
      </w:pPr>
      <w:r w:rsidRPr="00984ADB">
        <w:rPr>
          <w:rFonts w:ascii="Cambria" w:hAnsi="Cambria"/>
          <w:noProof/>
        </w:rPr>
        <w:t xml:space="preserve">EPA. (2011). </w:t>
      </w:r>
      <w:r w:rsidRPr="00984ADB">
        <w:rPr>
          <w:rFonts w:ascii="Cambria" w:hAnsi="Cambria"/>
          <w:i/>
          <w:iCs/>
          <w:noProof/>
        </w:rPr>
        <w:t>Plan to Study the Potential Impacts of Hydraulic Fracturing</w:t>
      </w:r>
      <w:r w:rsidRPr="00984ADB">
        <w:rPr>
          <w:rFonts w:ascii="Cambria" w:hAnsi="Cambria"/>
          <w:noProof/>
        </w:rPr>
        <w:t>. Washington, D.C. Retrieved from http://water.epa.gov/type/groundwater/uic/class2/hydraulicfracturing/upload/FINAL-STUDY-PLAN-HF_Web_2.pdf</w:t>
      </w:r>
    </w:p>
    <w:p w14:paraId="60CA68ED" w14:textId="77777777" w:rsidR="00984ADB" w:rsidRPr="00984ADB" w:rsidRDefault="00984ADB">
      <w:pPr>
        <w:pStyle w:val="NormalWeb"/>
        <w:ind w:left="480" w:hanging="480"/>
        <w:divId w:val="397482226"/>
        <w:rPr>
          <w:rFonts w:ascii="Cambria" w:hAnsi="Cambria"/>
          <w:noProof/>
        </w:rPr>
      </w:pPr>
      <w:r w:rsidRPr="00984ADB">
        <w:rPr>
          <w:rFonts w:ascii="Cambria" w:hAnsi="Cambria"/>
          <w:noProof/>
        </w:rPr>
        <w:t xml:space="preserve">Magalhães, A. I. P., Petrovic, D., Rodriguez, A. L., Putra, Z. A., &amp; Thielemans, G. (2009). Techno-economic assessment of biomass pre-conversion of biomass-to-liquids line-up. </w:t>
      </w:r>
      <w:r w:rsidRPr="00984ADB">
        <w:rPr>
          <w:rFonts w:ascii="Cambria" w:hAnsi="Cambria"/>
          <w:i/>
          <w:iCs/>
          <w:noProof/>
        </w:rPr>
        <w:t>Biofuels, Bioproducts &amp; Biorefining</w:t>
      </w:r>
      <w:r w:rsidRPr="00984ADB">
        <w:rPr>
          <w:rFonts w:ascii="Cambria" w:hAnsi="Cambria"/>
          <w:noProof/>
        </w:rPr>
        <w:t xml:space="preserve">, </w:t>
      </w:r>
      <w:r w:rsidRPr="00984ADB">
        <w:rPr>
          <w:rFonts w:ascii="Cambria" w:hAnsi="Cambria"/>
          <w:i/>
          <w:iCs/>
          <w:noProof/>
        </w:rPr>
        <w:t>3</w:t>
      </w:r>
      <w:r w:rsidRPr="00984ADB">
        <w:rPr>
          <w:rFonts w:ascii="Cambria" w:hAnsi="Cambria"/>
          <w:noProof/>
        </w:rPr>
        <w:t>, 584–600. doi:10.1002/bbb</w:t>
      </w:r>
    </w:p>
    <w:p w14:paraId="502840AF" w14:textId="77777777" w:rsidR="00984ADB" w:rsidRPr="00984ADB" w:rsidRDefault="00984ADB">
      <w:pPr>
        <w:pStyle w:val="NormalWeb"/>
        <w:ind w:left="480" w:hanging="480"/>
        <w:divId w:val="397482226"/>
        <w:rPr>
          <w:rFonts w:ascii="Cambria" w:hAnsi="Cambria"/>
          <w:noProof/>
        </w:rPr>
      </w:pPr>
      <w:r w:rsidRPr="00984ADB">
        <w:rPr>
          <w:rFonts w:ascii="Cambria" w:hAnsi="Cambria"/>
          <w:noProof/>
        </w:rPr>
        <w:t xml:space="preserve">NREL. (2012). </w:t>
      </w:r>
      <w:r w:rsidRPr="00984ADB">
        <w:rPr>
          <w:rFonts w:ascii="Cambria" w:hAnsi="Cambria"/>
          <w:i/>
          <w:iCs/>
          <w:noProof/>
        </w:rPr>
        <w:t>Biomass Gasification Technology Assessment Consolidated Report</w:t>
      </w:r>
      <w:r w:rsidRPr="00984ADB">
        <w:rPr>
          <w:rFonts w:ascii="Cambria" w:hAnsi="Cambria"/>
          <w:noProof/>
        </w:rPr>
        <w:t>. Retrieved from http://www.nrel.gov/docs/fy13osti/57085.pdf</w:t>
      </w:r>
    </w:p>
    <w:p w14:paraId="33466BB1" w14:textId="77777777" w:rsidR="00984ADB" w:rsidRPr="00984ADB" w:rsidRDefault="00984ADB">
      <w:pPr>
        <w:pStyle w:val="NormalWeb"/>
        <w:ind w:left="480" w:hanging="480"/>
        <w:divId w:val="397482226"/>
        <w:rPr>
          <w:rFonts w:ascii="Cambria" w:hAnsi="Cambria"/>
          <w:noProof/>
        </w:rPr>
      </w:pPr>
      <w:r w:rsidRPr="00984ADB">
        <w:rPr>
          <w:rFonts w:ascii="Cambria" w:hAnsi="Cambria"/>
          <w:noProof/>
        </w:rPr>
        <w:t xml:space="preserve">Uslu, A., Faaij, A. P. C., &amp; Bergman, P. C. a. (2008). Pre-treatment technologies, and their effect on international bioenergy supply chain logistics. Techno-economic evaluation of torrefaction, fast pyrolysis and pelletisation. </w:t>
      </w:r>
      <w:r w:rsidRPr="00984ADB">
        <w:rPr>
          <w:rFonts w:ascii="Cambria" w:hAnsi="Cambria"/>
          <w:i/>
          <w:iCs/>
          <w:noProof/>
        </w:rPr>
        <w:t>Energy</w:t>
      </w:r>
      <w:r w:rsidRPr="00984ADB">
        <w:rPr>
          <w:rFonts w:ascii="Cambria" w:hAnsi="Cambria"/>
          <w:noProof/>
        </w:rPr>
        <w:t xml:space="preserve">, </w:t>
      </w:r>
      <w:r w:rsidRPr="00984ADB">
        <w:rPr>
          <w:rFonts w:ascii="Cambria" w:hAnsi="Cambria"/>
          <w:i/>
          <w:iCs/>
          <w:noProof/>
        </w:rPr>
        <w:t>33</w:t>
      </w:r>
      <w:r w:rsidRPr="00984ADB">
        <w:rPr>
          <w:rFonts w:ascii="Cambria" w:hAnsi="Cambria"/>
          <w:noProof/>
        </w:rPr>
        <w:t>(8), 1206–1223. doi:10.1016/j.energy.2008.03.007</w:t>
      </w:r>
    </w:p>
    <w:p w14:paraId="13C6ED6F" w14:textId="7E51D85A" w:rsidR="008C2F3D" w:rsidRPr="00F32834" w:rsidRDefault="00984ADB" w:rsidP="00984ADB">
      <w:pPr>
        <w:pStyle w:val="NormalWeb"/>
        <w:ind w:left="480" w:hanging="480"/>
        <w:divId w:val="694617825"/>
        <w:rPr>
          <w:rFonts w:asciiTheme="majorHAnsi" w:hAnsiTheme="majorHAnsi"/>
        </w:rPr>
      </w:pPr>
      <w:r w:rsidRPr="00984ADB">
        <w:rPr>
          <w:rFonts w:ascii="Cambria" w:hAnsi="Cambria"/>
          <w:noProof/>
        </w:rPr>
        <w:t xml:space="preserve">Van der Meijden, C. M., Veringa, H. J., &amp; Rabou, L. P. L. M. (2010). The production of synthetic natural gas (SNG): A comparison of three wood gasification systems for energy balance and overall efficiency. </w:t>
      </w:r>
      <w:r w:rsidRPr="00984ADB">
        <w:rPr>
          <w:rFonts w:ascii="Cambria" w:hAnsi="Cambria"/>
          <w:i/>
          <w:iCs/>
          <w:noProof/>
        </w:rPr>
        <w:t>Biomass and Bioenergy</w:t>
      </w:r>
      <w:r w:rsidRPr="00984ADB">
        <w:rPr>
          <w:rFonts w:ascii="Cambria" w:hAnsi="Cambria"/>
          <w:noProof/>
        </w:rPr>
        <w:t xml:space="preserve">, </w:t>
      </w:r>
      <w:r w:rsidRPr="00984ADB">
        <w:rPr>
          <w:rFonts w:ascii="Cambria" w:hAnsi="Cambria"/>
          <w:i/>
          <w:iCs/>
          <w:noProof/>
        </w:rPr>
        <w:t>34</w:t>
      </w:r>
      <w:r w:rsidRPr="00984ADB">
        <w:rPr>
          <w:rFonts w:ascii="Cambria" w:hAnsi="Cambria"/>
          <w:noProof/>
        </w:rPr>
        <w:t>(3), 302–311. doi:10.1016/j.biombioe.2009.11.001</w:t>
      </w:r>
      <w:r w:rsidR="008C2F3D">
        <w:rPr>
          <w:rFonts w:asciiTheme="majorHAnsi" w:hAnsiTheme="majorHAnsi"/>
        </w:rPr>
        <w:fldChar w:fldCharType="end"/>
      </w:r>
      <w:bookmarkStart w:id="4" w:name="_GoBack"/>
      <w:bookmarkEnd w:id="4"/>
    </w:p>
    <w:sectPr w:rsidR="008C2F3D" w:rsidRPr="00F32834" w:rsidSect="00A3006A">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88F2F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E6F0D"/>
    <w:multiLevelType w:val="hybridMultilevel"/>
    <w:tmpl w:val="178E19F4"/>
    <w:lvl w:ilvl="0" w:tplc="04F4720A">
      <w:start w:val="1"/>
      <w:numFmt w:val="decimal"/>
      <w:lvlText w:val="%1."/>
      <w:lvlJc w:val="left"/>
      <w:pPr>
        <w:tabs>
          <w:tab w:val="num" w:pos="720"/>
        </w:tabs>
        <w:ind w:left="720" w:hanging="360"/>
      </w:pPr>
    </w:lvl>
    <w:lvl w:ilvl="1" w:tplc="88B89CD4" w:tentative="1">
      <w:start w:val="1"/>
      <w:numFmt w:val="decimal"/>
      <w:lvlText w:val="%2."/>
      <w:lvlJc w:val="left"/>
      <w:pPr>
        <w:tabs>
          <w:tab w:val="num" w:pos="1440"/>
        </w:tabs>
        <w:ind w:left="1440" w:hanging="360"/>
      </w:pPr>
    </w:lvl>
    <w:lvl w:ilvl="2" w:tplc="DECA7EC6" w:tentative="1">
      <w:start w:val="1"/>
      <w:numFmt w:val="decimal"/>
      <w:lvlText w:val="%3."/>
      <w:lvlJc w:val="left"/>
      <w:pPr>
        <w:tabs>
          <w:tab w:val="num" w:pos="2160"/>
        </w:tabs>
        <w:ind w:left="2160" w:hanging="360"/>
      </w:pPr>
    </w:lvl>
    <w:lvl w:ilvl="3" w:tplc="0D6C25C6" w:tentative="1">
      <w:start w:val="1"/>
      <w:numFmt w:val="decimal"/>
      <w:lvlText w:val="%4."/>
      <w:lvlJc w:val="left"/>
      <w:pPr>
        <w:tabs>
          <w:tab w:val="num" w:pos="2880"/>
        </w:tabs>
        <w:ind w:left="2880" w:hanging="360"/>
      </w:pPr>
    </w:lvl>
    <w:lvl w:ilvl="4" w:tplc="77B864FC" w:tentative="1">
      <w:start w:val="1"/>
      <w:numFmt w:val="decimal"/>
      <w:lvlText w:val="%5."/>
      <w:lvlJc w:val="left"/>
      <w:pPr>
        <w:tabs>
          <w:tab w:val="num" w:pos="3600"/>
        </w:tabs>
        <w:ind w:left="3600" w:hanging="360"/>
      </w:pPr>
    </w:lvl>
    <w:lvl w:ilvl="5" w:tplc="9324425E" w:tentative="1">
      <w:start w:val="1"/>
      <w:numFmt w:val="decimal"/>
      <w:lvlText w:val="%6."/>
      <w:lvlJc w:val="left"/>
      <w:pPr>
        <w:tabs>
          <w:tab w:val="num" w:pos="4320"/>
        </w:tabs>
        <w:ind w:left="4320" w:hanging="360"/>
      </w:pPr>
    </w:lvl>
    <w:lvl w:ilvl="6" w:tplc="8E667BBE" w:tentative="1">
      <w:start w:val="1"/>
      <w:numFmt w:val="decimal"/>
      <w:lvlText w:val="%7."/>
      <w:lvlJc w:val="left"/>
      <w:pPr>
        <w:tabs>
          <w:tab w:val="num" w:pos="5040"/>
        </w:tabs>
        <w:ind w:left="5040" w:hanging="360"/>
      </w:pPr>
    </w:lvl>
    <w:lvl w:ilvl="7" w:tplc="A9F2179C" w:tentative="1">
      <w:start w:val="1"/>
      <w:numFmt w:val="decimal"/>
      <w:lvlText w:val="%8."/>
      <w:lvlJc w:val="left"/>
      <w:pPr>
        <w:tabs>
          <w:tab w:val="num" w:pos="5760"/>
        </w:tabs>
        <w:ind w:left="5760" w:hanging="360"/>
      </w:pPr>
    </w:lvl>
    <w:lvl w:ilvl="8" w:tplc="1C5E8542" w:tentative="1">
      <w:start w:val="1"/>
      <w:numFmt w:val="decimal"/>
      <w:lvlText w:val="%9."/>
      <w:lvlJc w:val="left"/>
      <w:pPr>
        <w:tabs>
          <w:tab w:val="num" w:pos="6480"/>
        </w:tabs>
        <w:ind w:left="6480" w:hanging="360"/>
      </w:pPr>
    </w:lvl>
  </w:abstractNum>
  <w:abstractNum w:abstractNumId="1">
    <w:nsid w:val="7A600681"/>
    <w:multiLevelType w:val="hybridMultilevel"/>
    <w:tmpl w:val="CC8A614E"/>
    <w:lvl w:ilvl="0" w:tplc="068EF850">
      <w:start w:val="1"/>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
    <w15:presenceInfo w15:providerId="None" w15:userId="P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A4C"/>
    <w:rsid w:val="0000370D"/>
    <w:rsid w:val="00021C08"/>
    <w:rsid w:val="0002372E"/>
    <w:rsid w:val="0007103B"/>
    <w:rsid w:val="00072D27"/>
    <w:rsid w:val="00084E45"/>
    <w:rsid w:val="000A2EA9"/>
    <w:rsid w:val="000B6C44"/>
    <w:rsid w:val="000C5F80"/>
    <w:rsid w:val="000E1D43"/>
    <w:rsid w:val="000F720A"/>
    <w:rsid w:val="0010648B"/>
    <w:rsid w:val="00124630"/>
    <w:rsid w:val="00154E39"/>
    <w:rsid w:val="00186E35"/>
    <w:rsid w:val="001B4776"/>
    <w:rsid w:val="001F5E13"/>
    <w:rsid w:val="00203574"/>
    <w:rsid w:val="00211D84"/>
    <w:rsid w:val="00217F12"/>
    <w:rsid w:val="0022338F"/>
    <w:rsid w:val="00250F02"/>
    <w:rsid w:val="002528A8"/>
    <w:rsid w:val="00274FF0"/>
    <w:rsid w:val="0028031A"/>
    <w:rsid w:val="00295BE8"/>
    <w:rsid w:val="002F50D2"/>
    <w:rsid w:val="00340806"/>
    <w:rsid w:val="00346187"/>
    <w:rsid w:val="00351A93"/>
    <w:rsid w:val="00352E02"/>
    <w:rsid w:val="00355EB5"/>
    <w:rsid w:val="003821B2"/>
    <w:rsid w:val="00395AE9"/>
    <w:rsid w:val="003B1280"/>
    <w:rsid w:val="003D02D4"/>
    <w:rsid w:val="003D6CCF"/>
    <w:rsid w:val="00401A4C"/>
    <w:rsid w:val="00442551"/>
    <w:rsid w:val="00466298"/>
    <w:rsid w:val="004B60F9"/>
    <w:rsid w:val="004E0C92"/>
    <w:rsid w:val="004E67FC"/>
    <w:rsid w:val="004F384D"/>
    <w:rsid w:val="00510CDF"/>
    <w:rsid w:val="00515667"/>
    <w:rsid w:val="005455BB"/>
    <w:rsid w:val="00550C1D"/>
    <w:rsid w:val="00552CA4"/>
    <w:rsid w:val="00553ACF"/>
    <w:rsid w:val="00565678"/>
    <w:rsid w:val="0057549B"/>
    <w:rsid w:val="0057782E"/>
    <w:rsid w:val="005814A6"/>
    <w:rsid w:val="005823FD"/>
    <w:rsid w:val="0058671A"/>
    <w:rsid w:val="00587156"/>
    <w:rsid w:val="005961AE"/>
    <w:rsid w:val="005A5466"/>
    <w:rsid w:val="005C4799"/>
    <w:rsid w:val="005D187D"/>
    <w:rsid w:val="005F6F25"/>
    <w:rsid w:val="00632021"/>
    <w:rsid w:val="006338C7"/>
    <w:rsid w:val="00646889"/>
    <w:rsid w:val="00660487"/>
    <w:rsid w:val="00663BF0"/>
    <w:rsid w:val="006B7AEB"/>
    <w:rsid w:val="007146AE"/>
    <w:rsid w:val="00731963"/>
    <w:rsid w:val="00736941"/>
    <w:rsid w:val="00772051"/>
    <w:rsid w:val="00777E52"/>
    <w:rsid w:val="00782993"/>
    <w:rsid w:val="007B3426"/>
    <w:rsid w:val="007C2FF0"/>
    <w:rsid w:val="007C7111"/>
    <w:rsid w:val="007D50FA"/>
    <w:rsid w:val="007F0B95"/>
    <w:rsid w:val="00823DAC"/>
    <w:rsid w:val="00847227"/>
    <w:rsid w:val="00861622"/>
    <w:rsid w:val="00862CAC"/>
    <w:rsid w:val="008A09E2"/>
    <w:rsid w:val="008C0E04"/>
    <w:rsid w:val="008C2F3D"/>
    <w:rsid w:val="008E79DA"/>
    <w:rsid w:val="008F7DB2"/>
    <w:rsid w:val="00913A06"/>
    <w:rsid w:val="00914594"/>
    <w:rsid w:val="009253D9"/>
    <w:rsid w:val="009760E9"/>
    <w:rsid w:val="009764E5"/>
    <w:rsid w:val="00983BA6"/>
    <w:rsid w:val="00984ADB"/>
    <w:rsid w:val="009C125D"/>
    <w:rsid w:val="009C6374"/>
    <w:rsid w:val="00A3006A"/>
    <w:rsid w:val="00A42282"/>
    <w:rsid w:val="00A8061B"/>
    <w:rsid w:val="00AB4BA0"/>
    <w:rsid w:val="00AC11DE"/>
    <w:rsid w:val="00AD0C7A"/>
    <w:rsid w:val="00AD3586"/>
    <w:rsid w:val="00AE6F33"/>
    <w:rsid w:val="00B01B9A"/>
    <w:rsid w:val="00B113EF"/>
    <w:rsid w:val="00B13AC3"/>
    <w:rsid w:val="00B26F2B"/>
    <w:rsid w:val="00B36D64"/>
    <w:rsid w:val="00B46D1C"/>
    <w:rsid w:val="00B528F2"/>
    <w:rsid w:val="00B763EA"/>
    <w:rsid w:val="00B9530F"/>
    <w:rsid w:val="00BA368B"/>
    <w:rsid w:val="00BD1B89"/>
    <w:rsid w:val="00BE597F"/>
    <w:rsid w:val="00BF3CE0"/>
    <w:rsid w:val="00C154BE"/>
    <w:rsid w:val="00C46271"/>
    <w:rsid w:val="00C5014E"/>
    <w:rsid w:val="00C501BB"/>
    <w:rsid w:val="00C93102"/>
    <w:rsid w:val="00CB0910"/>
    <w:rsid w:val="00CB0E31"/>
    <w:rsid w:val="00D12898"/>
    <w:rsid w:val="00D27604"/>
    <w:rsid w:val="00D36A64"/>
    <w:rsid w:val="00D51140"/>
    <w:rsid w:val="00D71CC7"/>
    <w:rsid w:val="00D812A6"/>
    <w:rsid w:val="00D91639"/>
    <w:rsid w:val="00DB7634"/>
    <w:rsid w:val="00DC57D1"/>
    <w:rsid w:val="00DD03C6"/>
    <w:rsid w:val="00DD48A0"/>
    <w:rsid w:val="00DE202F"/>
    <w:rsid w:val="00DF6503"/>
    <w:rsid w:val="00E433F4"/>
    <w:rsid w:val="00E43923"/>
    <w:rsid w:val="00E72630"/>
    <w:rsid w:val="00EC28C5"/>
    <w:rsid w:val="00EC2FAC"/>
    <w:rsid w:val="00EC3214"/>
    <w:rsid w:val="00EC6F98"/>
    <w:rsid w:val="00ED4627"/>
    <w:rsid w:val="00F109B7"/>
    <w:rsid w:val="00F140B8"/>
    <w:rsid w:val="00F15319"/>
    <w:rsid w:val="00F32834"/>
    <w:rsid w:val="00F63D87"/>
    <w:rsid w:val="00F951D9"/>
    <w:rsid w:val="00FD0F18"/>
    <w:rsid w:val="00FF5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91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F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140B8"/>
    <w:rPr>
      <w:sz w:val="16"/>
      <w:szCs w:val="16"/>
    </w:rPr>
  </w:style>
  <w:style w:type="paragraph" w:styleId="CommentText">
    <w:name w:val="annotation text"/>
    <w:basedOn w:val="Normal"/>
    <w:link w:val="CommentTextChar"/>
    <w:uiPriority w:val="99"/>
    <w:semiHidden/>
    <w:unhideWhenUsed/>
    <w:rsid w:val="00F140B8"/>
    <w:pPr>
      <w:spacing w:line="240" w:lineRule="auto"/>
    </w:pPr>
    <w:rPr>
      <w:sz w:val="20"/>
      <w:szCs w:val="20"/>
    </w:rPr>
  </w:style>
  <w:style w:type="character" w:customStyle="1" w:styleId="CommentTextChar">
    <w:name w:val="Comment Text Char"/>
    <w:basedOn w:val="DefaultParagraphFont"/>
    <w:link w:val="CommentText"/>
    <w:uiPriority w:val="99"/>
    <w:semiHidden/>
    <w:rsid w:val="00F140B8"/>
    <w:rPr>
      <w:sz w:val="20"/>
      <w:szCs w:val="20"/>
    </w:rPr>
  </w:style>
  <w:style w:type="paragraph" w:styleId="CommentSubject">
    <w:name w:val="annotation subject"/>
    <w:basedOn w:val="CommentText"/>
    <w:next w:val="CommentText"/>
    <w:link w:val="CommentSubjectChar"/>
    <w:uiPriority w:val="99"/>
    <w:semiHidden/>
    <w:unhideWhenUsed/>
    <w:rsid w:val="00F140B8"/>
    <w:rPr>
      <w:b/>
      <w:bCs/>
    </w:rPr>
  </w:style>
  <w:style w:type="character" w:customStyle="1" w:styleId="CommentSubjectChar">
    <w:name w:val="Comment Subject Char"/>
    <w:basedOn w:val="CommentTextChar"/>
    <w:link w:val="CommentSubject"/>
    <w:uiPriority w:val="99"/>
    <w:semiHidden/>
    <w:rsid w:val="00F140B8"/>
    <w:rPr>
      <w:b/>
      <w:bCs/>
      <w:sz w:val="20"/>
      <w:szCs w:val="20"/>
    </w:rPr>
  </w:style>
  <w:style w:type="paragraph" w:styleId="BalloonText">
    <w:name w:val="Balloon Text"/>
    <w:basedOn w:val="Normal"/>
    <w:link w:val="BalloonTextChar"/>
    <w:uiPriority w:val="99"/>
    <w:semiHidden/>
    <w:unhideWhenUsed/>
    <w:rsid w:val="00F140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0B8"/>
    <w:rPr>
      <w:rFonts w:ascii="Segoe UI" w:hAnsi="Segoe UI" w:cs="Segoe UI"/>
      <w:sz w:val="18"/>
      <w:szCs w:val="18"/>
    </w:rPr>
  </w:style>
  <w:style w:type="paragraph" w:styleId="ListParagraph">
    <w:name w:val="List Paragraph"/>
    <w:basedOn w:val="Normal"/>
    <w:uiPriority w:val="34"/>
    <w:qFormat/>
    <w:rsid w:val="00AB4BA0"/>
    <w:pPr>
      <w:spacing w:after="0" w:line="240" w:lineRule="auto"/>
      <w:ind w:left="720"/>
    </w:pPr>
    <w:rPr>
      <w:rFonts w:ascii="Calibri" w:eastAsiaTheme="minorHAnsi" w:hAnsi="Calibri" w:cs="Times New Roman"/>
      <w:lang w:val="en-US" w:eastAsia="en-US"/>
    </w:rPr>
  </w:style>
  <w:style w:type="character" w:styleId="Hyperlink">
    <w:name w:val="Hyperlink"/>
    <w:basedOn w:val="DefaultParagraphFont"/>
    <w:uiPriority w:val="99"/>
    <w:unhideWhenUsed/>
    <w:rsid w:val="00F32834"/>
    <w:rPr>
      <w:color w:val="0000FF" w:themeColor="hyperlink"/>
      <w:u w:val="single"/>
    </w:rPr>
  </w:style>
  <w:style w:type="paragraph" w:styleId="NormalWeb">
    <w:name w:val="Normal (Web)"/>
    <w:basedOn w:val="Normal"/>
    <w:uiPriority w:val="99"/>
    <w:unhideWhenUsed/>
    <w:rsid w:val="008C2F3D"/>
    <w:pPr>
      <w:spacing w:before="100" w:beforeAutospacing="1" w:after="100" w:afterAutospacing="1" w:line="240" w:lineRule="auto"/>
    </w:pPr>
    <w:rPr>
      <w:rFonts w:ascii="Times New Roman" w:hAnsi="Times New Roman" w:cs="Times New Roman"/>
      <w:sz w:val="24"/>
      <w:szCs w:val="24"/>
    </w:rPr>
  </w:style>
  <w:style w:type="paragraph" w:customStyle="1" w:styleId="TituloGeneral">
    <w:name w:val="TituloGeneral"/>
    <w:basedOn w:val="Normal"/>
    <w:next w:val="Normal"/>
    <w:rsid w:val="00984ADB"/>
    <w:pPr>
      <w:spacing w:before="240" w:after="240" w:line="240" w:lineRule="auto"/>
      <w:jc w:val="center"/>
    </w:pPr>
    <w:rPr>
      <w:rFonts w:eastAsia="Times New Roman" w:cs="Times New Roman"/>
      <w:b/>
      <w:sz w:val="32"/>
      <w:szCs w:val="4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F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140B8"/>
    <w:rPr>
      <w:sz w:val="16"/>
      <w:szCs w:val="16"/>
    </w:rPr>
  </w:style>
  <w:style w:type="paragraph" w:styleId="CommentText">
    <w:name w:val="annotation text"/>
    <w:basedOn w:val="Normal"/>
    <w:link w:val="CommentTextChar"/>
    <w:uiPriority w:val="99"/>
    <w:semiHidden/>
    <w:unhideWhenUsed/>
    <w:rsid w:val="00F140B8"/>
    <w:pPr>
      <w:spacing w:line="240" w:lineRule="auto"/>
    </w:pPr>
    <w:rPr>
      <w:sz w:val="20"/>
      <w:szCs w:val="20"/>
    </w:rPr>
  </w:style>
  <w:style w:type="character" w:customStyle="1" w:styleId="CommentTextChar">
    <w:name w:val="Comment Text Char"/>
    <w:basedOn w:val="DefaultParagraphFont"/>
    <w:link w:val="CommentText"/>
    <w:uiPriority w:val="99"/>
    <w:semiHidden/>
    <w:rsid w:val="00F140B8"/>
    <w:rPr>
      <w:sz w:val="20"/>
      <w:szCs w:val="20"/>
    </w:rPr>
  </w:style>
  <w:style w:type="paragraph" w:styleId="CommentSubject">
    <w:name w:val="annotation subject"/>
    <w:basedOn w:val="CommentText"/>
    <w:next w:val="CommentText"/>
    <w:link w:val="CommentSubjectChar"/>
    <w:uiPriority w:val="99"/>
    <w:semiHidden/>
    <w:unhideWhenUsed/>
    <w:rsid w:val="00F140B8"/>
    <w:rPr>
      <w:b/>
      <w:bCs/>
    </w:rPr>
  </w:style>
  <w:style w:type="character" w:customStyle="1" w:styleId="CommentSubjectChar">
    <w:name w:val="Comment Subject Char"/>
    <w:basedOn w:val="CommentTextChar"/>
    <w:link w:val="CommentSubject"/>
    <w:uiPriority w:val="99"/>
    <w:semiHidden/>
    <w:rsid w:val="00F140B8"/>
    <w:rPr>
      <w:b/>
      <w:bCs/>
      <w:sz w:val="20"/>
      <w:szCs w:val="20"/>
    </w:rPr>
  </w:style>
  <w:style w:type="paragraph" w:styleId="BalloonText">
    <w:name w:val="Balloon Text"/>
    <w:basedOn w:val="Normal"/>
    <w:link w:val="BalloonTextChar"/>
    <w:uiPriority w:val="99"/>
    <w:semiHidden/>
    <w:unhideWhenUsed/>
    <w:rsid w:val="00F140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0B8"/>
    <w:rPr>
      <w:rFonts w:ascii="Segoe UI" w:hAnsi="Segoe UI" w:cs="Segoe UI"/>
      <w:sz w:val="18"/>
      <w:szCs w:val="18"/>
    </w:rPr>
  </w:style>
  <w:style w:type="paragraph" w:styleId="ListParagraph">
    <w:name w:val="List Paragraph"/>
    <w:basedOn w:val="Normal"/>
    <w:uiPriority w:val="34"/>
    <w:qFormat/>
    <w:rsid w:val="00AB4BA0"/>
    <w:pPr>
      <w:spacing w:after="0" w:line="240" w:lineRule="auto"/>
      <w:ind w:left="720"/>
    </w:pPr>
    <w:rPr>
      <w:rFonts w:ascii="Calibri" w:eastAsiaTheme="minorHAnsi" w:hAnsi="Calibri" w:cs="Times New Roman"/>
      <w:lang w:val="en-US" w:eastAsia="en-US"/>
    </w:rPr>
  </w:style>
  <w:style w:type="character" w:styleId="Hyperlink">
    <w:name w:val="Hyperlink"/>
    <w:basedOn w:val="DefaultParagraphFont"/>
    <w:uiPriority w:val="99"/>
    <w:unhideWhenUsed/>
    <w:rsid w:val="00F32834"/>
    <w:rPr>
      <w:color w:val="0000FF" w:themeColor="hyperlink"/>
      <w:u w:val="single"/>
    </w:rPr>
  </w:style>
  <w:style w:type="paragraph" w:styleId="NormalWeb">
    <w:name w:val="Normal (Web)"/>
    <w:basedOn w:val="Normal"/>
    <w:uiPriority w:val="99"/>
    <w:unhideWhenUsed/>
    <w:rsid w:val="008C2F3D"/>
    <w:pPr>
      <w:spacing w:before="100" w:beforeAutospacing="1" w:after="100" w:afterAutospacing="1" w:line="240" w:lineRule="auto"/>
    </w:pPr>
    <w:rPr>
      <w:rFonts w:ascii="Times New Roman" w:hAnsi="Times New Roman" w:cs="Times New Roman"/>
      <w:sz w:val="24"/>
      <w:szCs w:val="24"/>
    </w:rPr>
  </w:style>
  <w:style w:type="paragraph" w:customStyle="1" w:styleId="TituloGeneral">
    <w:name w:val="TituloGeneral"/>
    <w:basedOn w:val="Normal"/>
    <w:next w:val="Normal"/>
    <w:rsid w:val="00984ADB"/>
    <w:pPr>
      <w:spacing w:before="240" w:after="240" w:line="240" w:lineRule="auto"/>
      <w:jc w:val="center"/>
    </w:pPr>
    <w:rPr>
      <w:rFonts w:eastAsia="Times New Roman" w:cs="Times New Roman"/>
      <w:b/>
      <w:sz w:val="32"/>
      <w:szCs w:val="4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447179">
      <w:bodyDiv w:val="1"/>
      <w:marLeft w:val="0"/>
      <w:marRight w:val="0"/>
      <w:marTop w:val="0"/>
      <w:marBottom w:val="0"/>
      <w:divBdr>
        <w:top w:val="none" w:sz="0" w:space="0" w:color="auto"/>
        <w:left w:val="none" w:sz="0" w:space="0" w:color="auto"/>
        <w:bottom w:val="none" w:sz="0" w:space="0" w:color="auto"/>
        <w:right w:val="none" w:sz="0" w:space="0" w:color="auto"/>
      </w:divBdr>
    </w:div>
    <w:div w:id="1209150518">
      <w:bodyDiv w:val="1"/>
      <w:marLeft w:val="0"/>
      <w:marRight w:val="0"/>
      <w:marTop w:val="0"/>
      <w:marBottom w:val="0"/>
      <w:divBdr>
        <w:top w:val="none" w:sz="0" w:space="0" w:color="auto"/>
        <w:left w:val="none" w:sz="0" w:space="0" w:color="auto"/>
        <w:bottom w:val="none" w:sz="0" w:space="0" w:color="auto"/>
        <w:right w:val="none" w:sz="0" w:space="0" w:color="auto"/>
      </w:divBdr>
    </w:div>
    <w:div w:id="1289166585">
      <w:bodyDiv w:val="1"/>
      <w:marLeft w:val="0"/>
      <w:marRight w:val="0"/>
      <w:marTop w:val="0"/>
      <w:marBottom w:val="0"/>
      <w:divBdr>
        <w:top w:val="none" w:sz="0" w:space="0" w:color="auto"/>
        <w:left w:val="none" w:sz="0" w:space="0" w:color="auto"/>
        <w:bottom w:val="none" w:sz="0" w:space="0" w:color="auto"/>
        <w:right w:val="none" w:sz="0" w:space="0" w:color="auto"/>
      </w:divBdr>
    </w:div>
    <w:div w:id="1369183815">
      <w:bodyDiv w:val="1"/>
      <w:marLeft w:val="0"/>
      <w:marRight w:val="0"/>
      <w:marTop w:val="0"/>
      <w:marBottom w:val="0"/>
      <w:divBdr>
        <w:top w:val="none" w:sz="0" w:space="0" w:color="auto"/>
        <w:left w:val="none" w:sz="0" w:space="0" w:color="auto"/>
        <w:bottom w:val="none" w:sz="0" w:space="0" w:color="auto"/>
        <w:right w:val="none" w:sz="0" w:space="0" w:color="auto"/>
      </w:divBdr>
    </w:div>
    <w:div w:id="1377004546">
      <w:bodyDiv w:val="1"/>
      <w:marLeft w:val="0"/>
      <w:marRight w:val="0"/>
      <w:marTop w:val="0"/>
      <w:marBottom w:val="0"/>
      <w:divBdr>
        <w:top w:val="none" w:sz="0" w:space="0" w:color="auto"/>
        <w:left w:val="none" w:sz="0" w:space="0" w:color="auto"/>
        <w:bottom w:val="none" w:sz="0" w:space="0" w:color="auto"/>
        <w:right w:val="none" w:sz="0" w:space="0" w:color="auto"/>
      </w:divBdr>
      <w:divsChild>
        <w:div w:id="1260799035">
          <w:marLeft w:val="806"/>
          <w:marRight w:val="0"/>
          <w:marTop w:val="360"/>
          <w:marBottom w:val="0"/>
          <w:divBdr>
            <w:top w:val="none" w:sz="0" w:space="0" w:color="auto"/>
            <w:left w:val="none" w:sz="0" w:space="0" w:color="auto"/>
            <w:bottom w:val="none" w:sz="0" w:space="0" w:color="auto"/>
            <w:right w:val="none" w:sz="0" w:space="0" w:color="auto"/>
          </w:divBdr>
        </w:div>
        <w:div w:id="506411911">
          <w:marLeft w:val="806"/>
          <w:marRight w:val="0"/>
          <w:marTop w:val="360"/>
          <w:marBottom w:val="0"/>
          <w:divBdr>
            <w:top w:val="none" w:sz="0" w:space="0" w:color="auto"/>
            <w:left w:val="none" w:sz="0" w:space="0" w:color="auto"/>
            <w:bottom w:val="none" w:sz="0" w:space="0" w:color="auto"/>
            <w:right w:val="none" w:sz="0" w:space="0" w:color="auto"/>
          </w:divBdr>
        </w:div>
      </w:divsChild>
    </w:div>
    <w:div w:id="1451582867">
      <w:bodyDiv w:val="1"/>
      <w:marLeft w:val="0"/>
      <w:marRight w:val="0"/>
      <w:marTop w:val="0"/>
      <w:marBottom w:val="0"/>
      <w:divBdr>
        <w:top w:val="none" w:sz="0" w:space="0" w:color="auto"/>
        <w:left w:val="none" w:sz="0" w:space="0" w:color="auto"/>
        <w:bottom w:val="none" w:sz="0" w:space="0" w:color="auto"/>
        <w:right w:val="none" w:sz="0" w:space="0" w:color="auto"/>
      </w:divBdr>
    </w:div>
    <w:div w:id="1452944136">
      <w:bodyDiv w:val="1"/>
      <w:marLeft w:val="0"/>
      <w:marRight w:val="0"/>
      <w:marTop w:val="0"/>
      <w:marBottom w:val="0"/>
      <w:divBdr>
        <w:top w:val="none" w:sz="0" w:space="0" w:color="auto"/>
        <w:left w:val="none" w:sz="0" w:space="0" w:color="auto"/>
        <w:bottom w:val="none" w:sz="0" w:space="0" w:color="auto"/>
        <w:right w:val="none" w:sz="0" w:space="0" w:color="auto"/>
      </w:divBdr>
    </w:div>
    <w:div w:id="1747846633">
      <w:bodyDiv w:val="1"/>
      <w:marLeft w:val="0"/>
      <w:marRight w:val="0"/>
      <w:marTop w:val="0"/>
      <w:marBottom w:val="0"/>
      <w:divBdr>
        <w:top w:val="none" w:sz="0" w:space="0" w:color="auto"/>
        <w:left w:val="none" w:sz="0" w:space="0" w:color="auto"/>
        <w:bottom w:val="none" w:sz="0" w:space="0" w:color="auto"/>
        <w:right w:val="none" w:sz="0" w:space="0" w:color="auto"/>
      </w:divBdr>
    </w:div>
    <w:div w:id="1989477215">
      <w:bodyDiv w:val="1"/>
      <w:marLeft w:val="0"/>
      <w:marRight w:val="0"/>
      <w:marTop w:val="0"/>
      <w:marBottom w:val="0"/>
      <w:divBdr>
        <w:top w:val="none" w:sz="0" w:space="0" w:color="auto"/>
        <w:left w:val="none" w:sz="0" w:space="0" w:color="auto"/>
        <w:bottom w:val="none" w:sz="0" w:space="0" w:color="auto"/>
        <w:right w:val="none" w:sz="0" w:space="0" w:color="auto"/>
      </w:divBdr>
      <w:divsChild>
        <w:div w:id="340739011">
          <w:marLeft w:val="0"/>
          <w:marRight w:val="0"/>
          <w:marTop w:val="0"/>
          <w:marBottom w:val="0"/>
          <w:divBdr>
            <w:top w:val="none" w:sz="0" w:space="0" w:color="auto"/>
            <w:left w:val="none" w:sz="0" w:space="0" w:color="auto"/>
            <w:bottom w:val="none" w:sz="0" w:space="0" w:color="auto"/>
            <w:right w:val="none" w:sz="0" w:space="0" w:color="auto"/>
          </w:divBdr>
          <w:divsChild>
            <w:div w:id="586960682">
              <w:marLeft w:val="0"/>
              <w:marRight w:val="0"/>
              <w:marTop w:val="0"/>
              <w:marBottom w:val="0"/>
              <w:divBdr>
                <w:top w:val="none" w:sz="0" w:space="0" w:color="auto"/>
                <w:left w:val="none" w:sz="0" w:space="0" w:color="auto"/>
                <w:bottom w:val="none" w:sz="0" w:space="0" w:color="auto"/>
                <w:right w:val="none" w:sz="0" w:space="0" w:color="auto"/>
              </w:divBdr>
              <w:divsChild>
                <w:div w:id="1161888287">
                  <w:marLeft w:val="0"/>
                  <w:marRight w:val="0"/>
                  <w:marTop w:val="0"/>
                  <w:marBottom w:val="0"/>
                  <w:divBdr>
                    <w:top w:val="none" w:sz="0" w:space="0" w:color="auto"/>
                    <w:left w:val="none" w:sz="0" w:space="0" w:color="auto"/>
                    <w:bottom w:val="none" w:sz="0" w:space="0" w:color="auto"/>
                    <w:right w:val="none" w:sz="0" w:space="0" w:color="auto"/>
                  </w:divBdr>
                  <w:divsChild>
                    <w:div w:id="1423067363">
                      <w:marLeft w:val="0"/>
                      <w:marRight w:val="0"/>
                      <w:marTop w:val="0"/>
                      <w:marBottom w:val="0"/>
                      <w:divBdr>
                        <w:top w:val="none" w:sz="0" w:space="0" w:color="auto"/>
                        <w:left w:val="none" w:sz="0" w:space="0" w:color="auto"/>
                        <w:bottom w:val="none" w:sz="0" w:space="0" w:color="auto"/>
                        <w:right w:val="none" w:sz="0" w:space="0" w:color="auto"/>
                      </w:divBdr>
                      <w:divsChild>
                        <w:div w:id="694617825">
                          <w:marLeft w:val="0"/>
                          <w:marRight w:val="0"/>
                          <w:marTop w:val="0"/>
                          <w:marBottom w:val="0"/>
                          <w:divBdr>
                            <w:top w:val="none" w:sz="0" w:space="0" w:color="auto"/>
                            <w:left w:val="none" w:sz="0" w:space="0" w:color="auto"/>
                            <w:bottom w:val="none" w:sz="0" w:space="0" w:color="auto"/>
                            <w:right w:val="none" w:sz="0" w:space="0" w:color="auto"/>
                          </w:divBdr>
                          <w:divsChild>
                            <w:div w:id="39748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papageorgiou@ucl.ac.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44743-EB65-4ECC-B8A1-185EE766F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6753</TotalTime>
  <Pages>2</Pages>
  <Words>1727</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College London</Company>
  <LinksUpToDate>false</LinksUpToDate>
  <CharactersWithSpaces>11548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Andres J</dc:creator>
  <cp:lastModifiedBy>Chemical Engineering</cp:lastModifiedBy>
  <cp:revision>13</cp:revision>
  <cp:lastPrinted>2014-05-09T12:38:00Z</cp:lastPrinted>
  <dcterms:created xsi:type="dcterms:W3CDTF">2014-05-01T22:50:00Z</dcterms:created>
  <dcterms:modified xsi:type="dcterms:W3CDTF">2014-05-12T18:02:00Z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andresj_89@hotmail.com@www.mendeley.com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http://www.zotero.org/styles/biofuels</vt:lpwstr>
  </property>
  <property fmtid="{D5CDD505-2E9C-101B-9397-08002B2CF9AE}" pid="12" name="Mendeley Recent Style Name 3_1">
    <vt:lpwstr>Biofuels</vt:lpwstr>
  </property>
  <property fmtid="{D5CDD505-2E9C-101B-9397-08002B2CF9AE}" pid="13" name="Mendeley Recent Style Id 4_1">
    <vt:lpwstr>http://www.zotero.org/styles/biomass-and-bioenergy</vt:lpwstr>
  </property>
  <property fmtid="{D5CDD505-2E9C-101B-9397-08002B2CF9AE}" pid="14" name="Mendeley Recent Style Name 4_1">
    <vt:lpwstr>Biomass and Bioenergy</vt:lpwstr>
  </property>
  <property fmtid="{D5CDD505-2E9C-101B-9397-08002B2CF9AE}" pid="15" name="Mendeley Recent Style Id 5_1">
    <vt:lpwstr>http://www.zotero.org/styles/bioresource-technology</vt:lpwstr>
  </property>
  <property fmtid="{D5CDD505-2E9C-101B-9397-08002B2CF9AE}" pid="16" name="Mendeley Recent Style Name 5_1">
    <vt:lpwstr>Bioresource Technology</vt:lpwstr>
  </property>
  <property fmtid="{D5CDD505-2E9C-101B-9397-08002B2CF9AE}" pid="17" name="Mendeley Recent Style Id 6_1">
    <vt:lpwstr>http://www.zotero.org/styles/computers-and-chemical-engineering</vt:lpwstr>
  </property>
  <property fmtid="{D5CDD505-2E9C-101B-9397-08002B2CF9AE}" pid="18" name="Mendeley Recent Style Name 6_1">
    <vt:lpwstr>Computers and Chemical Engineering</vt:lpwstr>
  </property>
  <property fmtid="{D5CDD505-2E9C-101B-9397-08002B2CF9AE}" pid="19" name="Mendeley Recent Style Id 7_1">
    <vt:lpwstr>http://www.zotero.org/styles/energy-and-fuels</vt:lpwstr>
  </property>
  <property fmtid="{D5CDD505-2E9C-101B-9397-08002B2CF9AE}" pid="20" name="Mendeley Recent Style Name 7_1">
    <vt:lpwstr>Energy &amp; Fuels</vt:lpwstr>
  </property>
  <property fmtid="{D5CDD505-2E9C-101B-9397-08002B2CF9AE}" pid="21" name="Mendeley Recent Style Id 8_1">
    <vt:lpwstr>http://www.zotero.org/styles/fuel</vt:lpwstr>
  </property>
  <property fmtid="{D5CDD505-2E9C-101B-9397-08002B2CF9AE}" pid="22" name="Mendeley Recent Style Name 8_1">
    <vt:lpwstr>Fuel</vt:lpwstr>
  </property>
  <property fmtid="{D5CDD505-2E9C-101B-9397-08002B2CF9AE}" pid="23" name="Mendeley Recent Style Id 9_1">
    <vt:lpwstr>http://www.zotero.org/styles/ieee</vt:lpwstr>
  </property>
  <property fmtid="{D5CDD505-2E9C-101B-9397-08002B2CF9AE}" pid="24" name="Mendeley Recent Style Name 9_1">
    <vt:lpwstr>IEEE</vt:lpwstr>
  </property>
</Properties>
</file>