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384" w:rsidRPr="00386384" w:rsidRDefault="00386384" w:rsidP="00386384">
      <w:pPr>
        <w:rPr>
          <w:b/>
          <w:bCs/>
        </w:rPr>
      </w:pPr>
      <w:r w:rsidRPr="00386384">
        <w:rPr>
          <w:b/>
          <w:bCs/>
        </w:rPr>
        <w:t>Overview</w:t>
      </w:r>
    </w:p>
    <w:p w:rsidR="00386384" w:rsidRPr="00386384" w:rsidRDefault="00386384" w:rsidP="00386384">
      <w:pPr>
        <w:rPr>
          <w:iCs/>
        </w:rPr>
      </w:pPr>
      <w:r w:rsidRPr="00386384">
        <w:rPr>
          <w:iCs/>
        </w:rPr>
        <w:t xml:space="preserve">Twin screw granulation is a continuous wet granulation technique with the advantage of well-controlled, regime-separated growth.  </w:t>
      </w:r>
      <w:r>
        <w:rPr>
          <w:iCs/>
        </w:rPr>
        <w:t>A</w:t>
      </w:r>
      <w:r w:rsidRPr="00386384">
        <w:rPr>
          <w:iCs/>
        </w:rPr>
        <w:t xml:space="preserve"> model compound </w:t>
      </w:r>
      <w:r>
        <w:rPr>
          <w:iCs/>
        </w:rPr>
        <w:t xml:space="preserve">was used </w:t>
      </w:r>
      <w:r w:rsidRPr="00386384">
        <w:rPr>
          <w:iCs/>
        </w:rPr>
        <w:t>to demonstrate the impact of process parameters on granule PSD, flowability, and compactability, and the resulting tablet’s strength and dissolution characteristics.</w:t>
      </w:r>
    </w:p>
    <w:p w:rsidR="00386384" w:rsidRPr="00386384" w:rsidRDefault="00386384" w:rsidP="00386384"/>
    <w:p w:rsidR="00386384" w:rsidRPr="00386384" w:rsidRDefault="00386384" w:rsidP="00386384">
      <w:pPr>
        <w:rPr>
          <w:b/>
          <w:bCs/>
        </w:rPr>
      </w:pPr>
      <w:r w:rsidRPr="00386384">
        <w:rPr>
          <w:b/>
          <w:bCs/>
        </w:rPr>
        <w:t>Methodology</w:t>
      </w:r>
    </w:p>
    <w:p w:rsidR="00386384" w:rsidRDefault="00386384" w:rsidP="00386384">
      <w:pPr>
        <w:spacing w:line="240" w:lineRule="auto"/>
        <w:contextualSpacing/>
      </w:pPr>
      <w:r w:rsidRPr="00386384">
        <w:t>After a preliminary ranging study, a comprehensive DOE was designed to deconvolute the relative effects of process parameters on granule responses.  The 71-run DOE used factors of:</w:t>
      </w:r>
    </w:p>
    <w:p w:rsidR="00386384" w:rsidRDefault="00386384" w:rsidP="00386384">
      <w:pPr>
        <w:pStyle w:val="ListParagraph"/>
        <w:numPr>
          <w:ilvl w:val="0"/>
          <w:numId w:val="1"/>
        </w:numPr>
        <w:spacing w:line="240" w:lineRule="auto"/>
      </w:pPr>
      <w:r w:rsidRPr="00386384">
        <w:t>GFL: 10-70%</w:t>
      </w:r>
    </w:p>
    <w:p w:rsidR="00386384" w:rsidRDefault="00386384" w:rsidP="00386384">
      <w:pPr>
        <w:pStyle w:val="ListParagraph"/>
        <w:numPr>
          <w:ilvl w:val="0"/>
          <w:numId w:val="1"/>
        </w:numPr>
        <w:spacing w:line="240" w:lineRule="auto"/>
      </w:pPr>
      <w:r w:rsidRPr="00386384">
        <w:t>Screw Speed: 100-500 RPM</w:t>
      </w:r>
    </w:p>
    <w:p w:rsidR="00386384" w:rsidRDefault="00386384" w:rsidP="00386384">
      <w:pPr>
        <w:pStyle w:val="ListParagraph"/>
        <w:numPr>
          <w:ilvl w:val="0"/>
          <w:numId w:val="1"/>
        </w:numPr>
        <w:spacing w:line="240" w:lineRule="auto"/>
      </w:pPr>
      <w:r w:rsidRPr="00386384">
        <w:t>Throughput: 5-100 g/min</w:t>
      </w:r>
    </w:p>
    <w:p w:rsidR="00386384" w:rsidRDefault="00386384" w:rsidP="00386384">
      <w:pPr>
        <w:pStyle w:val="ListParagraph"/>
        <w:numPr>
          <w:ilvl w:val="0"/>
          <w:numId w:val="1"/>
        </w:numPr>
        <w:spacing w:line="240" w:lineRule="auto"/>
      </w:pPr>
      <w:r w:rsidRPr="00386384">
        <w:t>Screw Design: all conveying, 3x30 forwarding elements, 5x90 neutral mixing elements</w:t>
      </w:r>
    </w:p>
    <w:p w:rsidR="00386384" w:rsidRPr="00386384" w:rsidRDefault="00386384" w:rsidP="00386384">
      <w:pPr>
        <w:pStyle w:val="ListParagraph"/>
        <w:numPr>
          <w:ilvl w:val="0"/>
          <w:numId w:val="1"/>
        </w:numPr>
        <w:spacing w:line="240" w:lineRule="auto"/>
      </w:pPr>
      <w:r w:rsidRPr="00386384">
        <w:t>Barrel Temperature: 25-60C</w:t>
      </w:r>
    </w:p>
    <w:p w:rsidR="00386384" w:rsidRPr="00386384" w:rsidRDefault="00386384" w:rsidP="00386384">
      <w:pPr>
        <w:contextualSpacing/>
      </w:pPr>
      <w:r w:rsidRPr="00386384">
        <w:t>The studied responses included:</w:t>
      </w:r>
    </w:p>
    <w:p w:rsidR="00386384" w:rsidRPr="00386384" w:rsidRDefault="00386384" w:rsidP="00386384">
      <w:pPr>
        <w:numPr>
          <w:ilvl w:val="0"/>
          <w:numId w:val="2"/>
        </w:numPr>
        <w:contextualSpacing/>
      </w:pPr>
      <w:r w:rsidRPr="00386384">
        <w:t>Granule exit temperature</w:t>
      </w:r>
    </w:p>
    <w:p w:rsidR="00386384" w:rsidRPr="00386384" w:rsidRDefault="00386384" w:rsidP="00386384">
      <w:pPr>
        <w:numPr>
          <w:ilvl w:val="0"/>
          <w:numId w:val="2"/>
        </w:numPr>
        <w:contextualSpacing/>
      </w:pPr>
      <w:r w:rsidRPr="00386384">
        <w:t>Machine torque</w:t>
      </w:r>
    </w:p>
    <w:p w:rsidR="00386384" w:rsidRPr="00386384" w:rsidRDefault="00386384" w:rsidP="00386384">
      <w:pPr>
        <w:numPr>
          <w:ilvl w:val="0"/>
          <w:numId w:val="2"/>
        </w:numPr>
        <w:contextualSpacing/>
      </w:pPr>
      <w:r w:rsidRPr="00386384">
        <w:t>Power input (W)</w:t>
      </w:r>
    </w:p>
    <w:p w:rsidR="00386384" w:rsidRPr="00386384" w:rsidRDefault="00386384" w:rsidP="00386384">
      <w:pPr>
        <w:numPr>
          <w:ilvl w:val="0"/>
          <w:numId w:val="2"/>
        </w:numPr>
        <w:contextualSpacing/>
      </w:pPr>
      <w:r w:rsidRPr="00386384">
        <w:t>Residence time distribution</w:t>
      </w:r>
    </w:p>
    <w:p w:rsidR="00386384" w:rsidRPr="00386384" w:rsidRDefault="00386384" w:rsidP="00386384">
      <w:pPr>
        <w:numPr>
          <w:ilvl w:val="0"/>
          <w:numId w:val="2"/>
        </w:numPr>
        <w:contextualSpacing/>
      </w:pPr>
      <w:r w:rsidRPr="00386384">
        <w:t>Unmilled granule PSD and bulk density</w:t>
      </w:r>
    </w:p>
    <w:p w:rsidR="00386384" w:rsidRPr="00386384" w:rsidRDefault="00386384" w:rsidP="00386384">
      <w:pPr>
        <w:numPr>
          <w:ilvl w:val="0"/>
          <w:numId w:val="2"/>
        </w:numPr>
        <w:contextualSpacing/>
      </w:pPr>
      <w:r w:rsidRPr="00386384">
        <w:t>Milled granule PSD and bulk/tapped density</w:t>
      </w:r>
    </w:p>
    <w:p w:rsidR="00386384" w:rsidRPr="00386384" w:rsidRDefault="00386384" w:rsidP="00386384">
      <w:pPr>
        <w:numPr>
          <w:ilvl w:val="0"/>
          <w:numId w:val="2"/>
        </w:numPr>
        <w:contextualSpacing/>
      </w:pPr>
      <w:r w:rsidRPr="00386384">
        <w:t>Compaction profile after lubrication</w:t>
      </w:r>
    </w:p>
    <w:p w:rsidR="00386384" w:rsidRPr="00386384" w:rsidRDefault="00386384" w:rsidP="00386384">
      <w:pPr>
        <w:numPr>
          <w:ilvl w:val="0"/>
          <w:numId w:val="2"/>
        </w:numPr>
        <w:contextualSpacing/>
      </w:pPr>
      <w:r w:rsidRPr="00386384">
        <w:t>Dissolution after tableting</w:t>
      </w:r>
    </w:p>
    <w:p w:rsidR="00386384" w:rsidRPr="00386384" w:rsidRDefault="00386384" w:rsidP="00386384"/>
    <w:p w:rsidR="00386384" w:rsidRPr="00386384" w:rsidRDefault="00386384" w:rsidP="00386384">
      <w:pPr>
        <w:rPr>
          <w:b/>
          <w:bCs/>
        </w:rPr>
      </w:pPr>
      <w:r w:rsidRPr="00386384">
        <w:rPr>
          <w:b/>
          <w:bCs/>
        </w:rPr>
        <w:t>Results</w:t>
      </w:r>
    </w:p>
    <w:p w:rsidR="00386384" w:rsidRPr="00386384" w:rsidRDefault="00386384" w:rsidP="00386384">
      <w:r w:rsidRPr="00386384">
        <w:t>A multivariate analysis of the studied responses showed that process parameters had—</w:t>
      </w:r>
      <w:r w:rsidRPr="00386384">
        <w:rPr>
          <w:i/>
        </w:rPr>
        <w:t>in general</w:t>
      </w:r>
      <w:r>
        <w:t>—the following relative</w:t>
      </w:r>
      <w:r w:rsidRPr="00386384">
        <w:t xml:space="preserve"> impact on responses:</w:t>
      </w:r>
    </w:p>
    <w:p w:rsidR="00386384" w:rsidRPr="00386384" w:rsidRDefault="00386384" w:rsidP="00386384">
      <w:r w:rsidRPr="00386384">
        <w:t>GFL&gt;Throughput&gt;Screw Design&gt;Screw Speed&gt;Barrel Temperature</w:t>
      </w:r>
    </w:p>
    <w:p w:rsidR="00386384" w:rsidRPr="00386384" w:rsidRDefault="00386384" w:rsidP="00386384">
      <w:r w:rsidRPr="00386384">
        <w:t xml:space="preserve">Surprisingly, very few interactions were observed, indicating that the process can be tuned with individual and independent process parameters.  </w:t>
      </w:r>
    </w:p>
    <w:p w:rsidR="00386384" w:rsidRPr="00386384" w:rsidRDefault="00386384" w:rsidP="00386384">
      <w:r w:rsidRPr="00386384">
        <w:t>GFL dominated the main responses of PSD and compactability with greater GFLs giving both larger and more compactable granules.  That increasing GFL increases compactability is consistent with other HSWG/FBG development.  However, the compactability for TSWG was significantly greater than the corresponding HSWG/FBG processes (~5 MPa @ 200MPa vs. 3.5 MPa).</w:t>
      </w:r>
      <w:bookmarkStart w:id="0" w:name="_GoBack"/>
      <w:bookmarkEnd w:id="0"/>
    </w:p>
    <w:p w:rsidR="00386384" w:rsidRPr="00386384" w:rsidRDefault="00386384" w:rsidP="00386384">
      <w:r w:rsidRPr="00386384">
        <w:lastRenderedPageBreak/>
        <w:t>Screw speed showed a linear relationship with power consumption, as expected.  Overall power consumption was low compared to HME, with torque never exceeding 20% of machine capability.</w:t>
      </w:r>
    </w:p>
    <w:p w:rsidR="00386384" w:rsidRPr="00386384" w:rsidRDefault="00386384" w:rsidP="00386384">
      <w:r w:rsidRPr="00386384">
        <w:t>Residence time data was fit to a model approximating two CSTRs and a PFR in series, yielding the lag time for the first material to breakthrough (t</w:t>
      </w:r>
      <w:r w:rsidRPr="00386384">
        <w:rPr>
          <w:vertAlign w:val="subscript"/>
        </w:rPr>
        <w:t>lag</w:t>
      </w:r>
      <w:r w:rsidRPr="00386384">
        <w:t>), and the width of the subsequent distribution (τ).  The resulting mean residence time was then successfully modeled according to the equation:</w:t>
      </w:r>
    </w:p>
    <w:p w:rsidR="00386384" w:rsidRPr="00386384" w:rsidRDefault="00386384" w:rsidP="00386384">
      <w:proofErr w:type="gramStart"/>
      <w:r w:rsidRPr="00386384">
        <w:t>t</w:t>
      </w:r>
      <w:r w:rsidRPr="00386384">
        <w:rPr>
          <w:vertAlign w:val="subscript"/>
        </w:rPr>
        <w:t>mean</w:t>
      </w:r>
      <w:proofErr w:type="gramEnd"/>
      <w:r w:rsidRPr="00386384">
        <w:t xml:space="preserve"> = m/Q + b/SS where t</w:t>
      </w:r>
      <w:r w:rsidRPr="00386384">
        <w:rPr>
          <w:vertAlign w:val="subscript"/>
        </w:rPr>
        <w:t>mean</w:t>
      </w:r>
      <w:r w:rsidRPr="00386384">
        <w:t xml:space="preserve"> is mean residence time (equal to t</w:t>
      </w:r>
      <w:r w:rsidRPr="00386384">
        <w:rPr>
          <w:vertAlign w:val="subscript"/>
        </w:rPr>
        <w:t>lag</w:t>
      </w:r>
      <w:r w:rsidRPr="00386384">
        <w:t xml:space="preserve"> + τ), Q is throughput, SS is screw speed, and m and b are experimentally fit constants. </w:t>
      </w:r>
    </w:p>
    <w:p w:rsidR="00386384" w:rsidRPr="00386384" w:rsidRDefault="00386384" w:rsidP="00386384">
      <w:r w:rsidRPr="00386384">
        <w:t>Interestingly, barrel temperature had no significant impact on any response despite expectations that it would decrease liquid penetration time thereby potentially accelerating granulation.  That temperature is not significant is a benefit to experimental design since temperature (barrel warming/cooling during long runs) does not need to be considered.</w:t>
      </w:r>
    </w:p>
    <w:p w:rsidR="00386384" w:rsidRPr="00386384" w:rsidRDefault="00386384" w:rsidP="00386384">
      <w:r w:rsidRPr="00386384">
        <w:t>Dissolution was rapid (&gt;85% at 30 min) and does not appear to be affected by process parameters, though further work is warranted.</w:t>
      </w:r>
    </w:p>
    <w:p w:rsidR="00386384" w:rsidRPr="00386384" w:rsidRDefault="00386384" w:rsidP="00386384">
      <w:r w:rsidRPr="00386384">
        <w:rPr>
          <w:b/>
          <w:bCs/>
        </w:rPr>
        <w:t>Conclusions</w:t>
      </w:r>
    </w:p>
    <w:p w:rsidR="00386384" w:rsidRPr="00386384" w:rsidRDefault="00386384" w:rsidP="00386384">
      <w:r w:rsidRPr="00386384">
        <w:t xml:space="preserve">The twin screw granulation process was demonstrated to be a promising alternative to high shear wet granulation and fluid bed granulation for </w:t>
      </w:r>
      <w:r>
        <w:t>a</w:t>
      </w:r>
      <w:r w:rsidRPr="00386384">
        <w:t xml:space="preserve"> 15% drug load formulation.  The fundamental impacts of TSWG process parameters on granule attributes were thoroughly characterized over exceptionally wide ranges.  The impacts of parameters were rank-ordered to show their relative impacts.  Finally, potential failure modes and areas for future development were identified.</w:t>
      </w:r>
    </w:p>
    <w:p w:rsidR="00424D89" w:rsidRDefault="00424D89"/>
    <w:sectPr w:rsidR="00424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825D6"/>
    <w:multiLevelType w:val="hybridMultilevel"/>
    <w:tmpl w:val="55F02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6F17ED"/>
    <w:multiLevelType w:val="hybridMultilevel"/>
    <w:tmpl w:val="EEEC7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384"/>
    <w:rsid w:val="00386384"/>
    <w:rsid w:val="00424D89"/>
    <w:rsid w:val="009B2EE4"/>
    <w:rsid w:val="00A8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3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488</Words>
  <Characters>2786</Characters>
  <Application>Microsoft Office Word</Application>
  <DocSecurity>0</DocSecurity>
  <Lines>23</Lines>
  <Paragraphs>6</Paragraphs>
  <ScaleCrop>false</ScaleCrop>
  <Company>Merck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Ricart</dc:creator>
  <cp:lastModifiedBy>B Ricart</cp:lastModifiedBy>
  <cp:revision>2</cp:revision>
  <dcterms:created xsi:type="dcterms:W3CDTF">2014-04-28T19:33:00Z</dcterms:created>
  <dcterms:modified xsi:type="dcterms:W3CDTF">2014-04-28T19:37:00Z</dcterms:modified>
</cp:coreProperties>
</file>