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6465" w:rsidRDefault="00E279F7" w:rsidP="00E279F7">
      <w:pPr>
        <w:pStyle w:val="PaperTitle"/>
        <w:rPr>
          <w:lang w:eastAsia="zh-CN"/>
        </w:rPr>
      </w:pPr>
      <w:r>
        <w:rPr>
          <w:caps w:val="0"/>
        </w:rPr>
        <w:t>Examining frequency dispersion</w:t>
      </w:r>
      <w:r w:rsidR="00A55AC8">
        <w:rPr>
          <w:caps w:val="0"/>
        </w:rPr>
        <w:t xml:space="preserve"> in non-linear electrokinetic flow</w:t>
      </w:r>
      <w:r>
        <w:rPr>
          <w:caps w:val="0"/>
        </w:rPr>
        <w:t xml:space="preserve"> using µPIV</w:t>
      </w:r>
      <w:r w:rsidR="003B6465">
        <w:rPr>
          <w:rFonts w:hint="eastAsia"/>
          <w:caps w:val="0"/>
          <w:lang w:eastAsia="zh-CN"/>
        </w:rPr>
        <w:t xml:space="preserve"> </w:t>
      </w:r>
    </w:p>
    <w:p w:rsidR="003B6465" w:rsidRPr="0081314A" w:rsidRDefault="003B6465">
      <w:pPr>
        <w:pStyle w:val="Authors"/>
        <w:rPr>
          <w:lang w:val="en-US"/>
        </w:rPr>
      </w:pPr>
    </w:p>
    <w:p w:rsidR="003B6465" w:rsidRDefault="0081314A" w:rsidP="00104953">
      <w:pPr>
        <w:pStyle w:val="Authors"/>
        <w:adjustRightInd w:val="0"/>
        <w:snapToGrid w:val="0"/>
        <w:rPr>
          <w:lang w:eastAsia="zh-CN"/>
        </w:rPr>
      </w:pPr>
      <w:r>
        <w:rPr>
          <w:u w:val="single"/>
        </w:rPr>
        <w:t>Alicia Boymelgreen</w:t>
      </w:r>
      <w:r w:rsidR="003B6465">
        <w:rPr>
          <w:vertAlign w:val="superscript"/>
        </w:rPr>
        <w:t>1</w:t>
      </w:r>
      <w:r>
        <w:t xml:space="preserve">, </w:t>
      </w:r>
      <w:r w:rsidR="00E279F7">
        <w:t>Matan Zehavi</w:t>
      </w:r>
      <w:r w:rsidR="00E279F7">
        <w:rPr>
          <w:vertAlign w:val="superscript"/>
        </w:rPr>
        <w:t>1</w:t>
      </w:r>
      <w:r w:rsidR="003B6465">
        <w:t xml:space="preserve">, </w:t>
      </w:r>
      <w:r w:rsidR="00104953">
        <w:t>Gilad Yossifon</w:t>
      </w:r>
      <w:r w:rsidR="00104953">
        <w:rPr>
          <w:vertAlign w:val="superscript"/>
        </w:rPr>
        <w:t>1</w:t>
      </w:r>
    </w:p>
    <w:p w:rsidR="00621022" w:rsidRPr="00D67D8C" w:rsidRDefault="00621022" w:rsidP="00621022">
      <w:pPr>
        <w:spacing w:line="480" w:lineRule="auto"/>
        <w:jc w:val="center"/>
        <w:rPr>
          <w:rFonts w:asciiTheme="majorBidi" w:hAnsiTheme="majorBidi" w:cstheme="majorBidi"/>
          <w:i/>
          <w:iCs/>
        </w:rPr>
      </w:pPr>
      <w:r w:rsidRPr="00D67D8C">
        <w:rPr>
          <w:rFonts w:asciiTheme="majorBidi" w:hAnsiTheme="majorBidi" w:cstheme="majorBidi"/>
          <w:i/>
          <w:iCs/>
          <w:vertAlign w:val="superscript"/>
        </w:rPr>
        <w:t>1</w:t>
      </w:r>
      <w:r w:rsidRPr="00D67D8C">
        <w:rPr>
          <w:rFonts w:asciiTheme="majorBidi" w:hAnsiTheme="majorBidi" w:cstheme="majorBidi"/>
          <w:i/>
          <w:iCs/>
        </w:rPr>
        <w:t xml:space="preserve">Faculty of Mechanical Engineering, Micro- and </w:t>
      </w:r>
      <w:proofErr w:type="spellStart"/>
      <w:r w:rsidRPr="00D67D8C">
        <w:rPr>
          <w:rFonts w:asciiTheme="majorBidi" w:hAnsiTheme="majorBidi" w:cstheme="majorBidi"/>
          <w:i/>
          <w:iCs/>
        </w:rPr>
        <w:t>Nanofluidics</w:t>
      </w:r>
      <w:proofErr w:type="spellEnd"/>
      <w:r w:rsidRPr="00D67D8C">
        <w:rPr>
          <w:rFonts w:asciiTheme="majorBidi" w:hAnsiTheme="majorBidi" w:cstheme="majorBidi"/>
          <w:i/>
          <w:iCs/>
        </w:rPr>
        <w:t xml:space="preserve"> Laboratory, Technion – Israel Institute of Technology, Haifa 32000, Israel</w:t>
      </w:r>
    </w:p>
    <w:p w:rsidR="003B6465" w:rsidRDefault="003B6465" w:rsidP="00E168BA">
      <w:pPr>
        <w:pStyle w:val="Papertext"/>
        <w:jc w:val="center"/>
        <w:rPr>
          <w:rFonts w:eastAsia="MS Mincho"/>
          <w:lang w:val="hr-HR" w:eastAsia="ja-JP"/>
        </w:rPr>
      </w:pPr>
      <w:r>
        <w:rPr>
          <w:rFonts w:hint="eastAsia"/>
          <w:lang w:val="hr-HR" w:eastAsia="zh-CN"/>
        </w:rPr>
        <w:t xml:space="preserve">E-mail: </w:t>
      </w:r>
      <w:r w:rsidR="00E168BA">
        <w:rPr>
          <w:rFonts w:eastAsia="MS Mincho"/>
          <w:lang w:val="hr-HR" w:eastAsia="ja-JP"/>
        </w:rPr>
        <w:t>aliciab@tx.technion.ac.il</w:t>
      </w:r>
    </w:p>
    <w:p w:rsidR="0032753D" w:rsidRDefault="0032753D">
      <w:pPr>
        <w:pStyle w:val="Papertext"/>
        <w:jc w:val="center"/>
        <w:rPr>
          <w:rFonts w:eastAsia="MS Mincho"/>
          <w:lang w:val="hr-HR" w:eastAsia="ja-JP"/>
        </w:rPr>
      </w:pPr>
    </w:p>
    <w:p w:rsidR="003B6465" w:rsidRDefault="003B6465">
      <w:pPr>
        <w:pStyle w:val="Papertext"/>
        <w:rPr>
          <w:lang w:val="hr-HR" w:eastAsia="zh-CN"/>
        </w:rPr>
        <w:sectPr w:rsidR="003B6465">
          <w:pgSz w:w="11907" w:h="16840" w:code="9"/>
          <w:pgMar w:top="1418" w:right="1418" w:bottom="1418" w:left="1418" w:header="709" w:footer="709" w:gutter="0"/>
          <w:cols w:space="708"/>
          <w:docGrid w:linePitch="360"/>
        </w:sectPr>
      </w:pPr>
    </w:p>
    <w:p w:rsidR="004A2D77" w:rsidRDefault="00A55AC8" w:rsidP="005A301C">
      <w:pPr>
        <w:jc w:val="both"/>
        <w:rPr>
          <w:lang w:val="hr-HR" w:eastAsia="zh-CN"/>
        </w:rPr>
      </w:pPr>
      <w:r>
        <w:rPr>
          <w:lang w:val="hr-HR" w:eastAsia="zh-CN"/>
        </w:rPr>
        <w:lastRenderedPageBreak/>
        <w:t>Non-linear electrohydrodynamic flows, including induce</w:t>
      </w:r>
      <w:r w:rsidR="00310BCD">
        <w:rPr>
          <w:lang w:val="hr-HR" w:eastAsia="zh-CN"/>
        </w:rPr>
        <w:t>d</w:t>
      </w:r>
      <w:r>
        <w:rPr>
          <w:lang w:val="hr-HR" w:eastAsia="zh-CN"/>
        </w:rPr>
        <w:t>-charge</w:t>
      </w:r>
      <w:r w:rsidR="00310BCD">
        <w:rPr>
          <w:lang w:val="hr-HR" w:eastAsia="zh-CN"/>
        </w:rPr>
        <w:fldChar w:fldCharType="begin"/>
      </w:r>
      <w:r w:rsidR="00310BCD">
        <w:rPr>
          <w:lang w:val="hr-HR" w:eastAsia="zh-CN"/>
        </w:rPr>
        <w:instrText xml:space="preserve"> ADDIN ZOTERO_ITEM CSL_CITATION {"citationID":"27mn9if4se","properties":{"formattedCitation":"{\\rtf \\super 1\\nosupersub{}}","plainCitation":"1"},"citationItems":[{"id":49,"uris":["http://zotero.org/users/local/Ih9TiaeN/items/UTNZWGHV"],"uri":["http://zotero.org/users/local/Ih9TiaeN/items/UTNZWGHV"],"itemData":{"id":49,"type":"article-journal","title":"Induced-charge electro-osmosis","container-title":"Journal of Fluid Mechanics","page":"217-252","volume":"509","source":"Cambridge Journals Online","DOI":"10.1017/S0022112004009309","author":[{"family":"Squires","given":"Todd M."},{"family":"Bazant","given":"Martin Z."}],"issued":{"date-parts":[["2004"]]}}}],"schema":"https://github.com/citation-style-language/schema/raw/master/csl-citation.json"} </w:instrText>
      </w:r>
      <w:r w:rsidR="00310BCD">
        <w:rPr>
          <w:lang w:val="hr-HR" w:eastAsia="zh-CN"/>
        </w:rPr>
        <w:fldChar w:fldCharType="separate"/>
      </w:r>
      <w:r w:rsidR="00310BCD" w:rsidRPr="00310BCD">
        <w:rPr>
          <w:vertAlign w:val="superscript"/>
        </w:rPr>
        <w:t>1</w:t>
      </w:r>
      <w:r w:rsidR="00310BCD">
        <w:rPr>
          <w:lang w:val="hr-HR" w:eastAsia="zh-CN"/>
        </w:rPr>
        <w:fldChar w:fldCharType="end"/>
      </w:r>
      <w:r w:rsidR="007A3528">
        <w:rPr>
          <w:lang w:val="hr-HR" w:eastAsia="zh-CN"/>
        </w:rPr>
        <w:t xml:space="preserve"> (ICEO)</w:t>
      </w:r>
      <w:r>
        <w:rPr>
          <w:lang w:val="hr-HR" w:eastAsia="zh-CN"/>
        </w:rPr>
        <w:t xml:space="preserve"> and alternating-current</w:t>
      </w:r>
      <w:r w:rsidR="005A301C">
        <w:rPr>
          <w:lang w:val="hr-HR" w:eastAsia="zh-CN"/>
        </w:rPr>
        <w:fldChar w:fldCharType="begin"/>
      </w:r>
      <w:r w:rsidR="005A301C">
        <w:rPr>
          <w:lang w:val="hr-HR" w:eastAsia="zh-CN"/>
        </w:rPr>
        <w:instrText xml:space="preserve"> ADDIN ZOTERO_ITEM CSL_CITATION {"citationID":"2fv65fehho","properties":{"formattedCitation":"{\\rtf \\super 2\\nosupersub{}}","plainCitation":"2"},"citationItems":[{"id":164,"uris":["http://zotero.org/users/local/Ih9TiaeN/items/CN26B7BT"],"uri":["http://zotero.org/users/local/Ih9TiaeN/items/CN26B7BT"],"itemData":{"id":164,"type":"article-journal","title":"AC Electric-Field-Induced Fluid Flow in Microelectrodes","container-title":"Journal of colloid and interface science","page":"420-422","volume":"217","issue":"2","source":"NCBI PubMed","abstract":"During the AC electrokinetic manipulation of particles in suspension on microelectrode structures, strong frequency-dependent fluid flow is observed. The fluid movement is predominant at frequencies below the reciprocal charge relaxation time, with a reproducible pattern occurring close to and across the electrode surface. This paper reports measurements of the fluid velocity as a function of frequency and position across the electrode. Evidence is presented indicating that the flow occurs due to electroosmotic stress arising from the interaction of the electric field and the electrical double layer on the electrodes. The electrode polarization plays a significant role in controlling the frequency dependence of the flow. Copyright 1999 Academic Press.","DOI":"10.1006/jcis.1999.6346","ISSN":"1095-7103","note":"PMID: 10469552","journalAbbreviation":"J Colloid Interface Sci","language":"ENG","author":[{"family":"Ramos, A.","given":""},{"family":"Morgan","given":"H."},{"family":"Green","given":"N. G."},{"family":"Castellanos","given":"A."}],"issued":{"date-parts":[["1999",9,15]]},"PMID":"10469552"}}],"schema":"https://github.com/citation-style-language/schema/raw/master/csl-citation.json"} </w:instrText>
      </w:r>
      <w:r w:rsidR="005A301C">
        <w:rPr>
          <w:lang w:val="hr-HR" w:eastAsia="zh-CN"/>
        </w:rPr>
        <w:fldChar w:fldCharType="separate"/>
      </w:r>
      <w:r w:rsidR="005A301C" w:rsidRPr="005A301C">
        <w:rPr>
          <w:vertAlign w:val="superscript"/>
        </w:rPr>
        <w:t>2</w:t>
      </w:r>
      <w:r w:rsidR="005A301C">
        <w:rPr>
          <w:lang w:val="hr-HR" w:eastAsia="zh-CN"/>
        </w:rPr>
        <w:fldChar w:fldCharType="end"/>
      </w:r>
      <w:r w:rsidR="007A3528">
        <w:rPr>
          <w:lang w:val="hr-HR" w:eastAsia="zh-CN"/>
        </w:rPr>
        <w:t xml:space="preserve"> (ACEO)</w:t>
      </w:r>
      <w:r w:rsidR="005A301C">
        <w:rPr>
          <w:lang w:val="hr-HR" w:eastAsia="zh-CN"/>
        </w:rPr>
        <w:t xml:space="preserve"> </w:t>
      </w:r>
      <w:r>
        <w:rPr>
          <w:lang w:val="hr-HR" w:eastAsia="zh-CN"/>
        </w:rPr>
        <w:t xml:space="preserve">electroosmosis have received much attention </w:t>
      </w:r>
      <w:r w:rsidR="004A2D77">
        <w:rPr>
          <w:lang w:val="hr-HR" w:eastAsia="zh-CN"/>
        </w:rPr>
        <w:t xml:space="preserve">amongst the micro/nanofluidic community </w:t>
      </w:r>
      <w:r>
        <w:rPr>
          <w:lang w:val="hr-HR" w:eastAsia="zh-CN"/>
        </w:rPr>
        <w:t xml:space="preserve">over the past decade for their potential to produce net flow even under ac electric forcing, </w:t>
      </w:r>
      <w:r w:rsidR="004A2D77">
        <w:rPr>
          <w:lang w:val="hr-HR" w:eastAsia="zh-CN"/>
        </w:rPr>
        <w:t>with suggested</w:t>
      </w:r>
      <w:r>
        <w:rPr>
          <w:lang w:val="hr-HR" w:eastAsia="zh-CN"/>
        </w:rPr>
        <w:t xml:space="preserve"> applications ranging from </w:t>
      </w:r>
      <w:r w:rsidR="004A2D77">
        <w:rPr>
          <w:lang w:val="hr-HR" w:eastAsia="zh-CN"/>
        </w:rPr>
        <w:t>electroosmotic pumps</w:t>
      </w:r>
      <w:r w:rsidR="005A301C">
        <w:rPr>
          <w:lang w:val="hr-HR" w:eastAsia="zh-CN"/>
        </w:rPr>
        <w:fldChar w:fldCharType="begin"/>
      </w:r>
      <w:r w:rsidR="005A301C">
        <w:rPr>
          <w:lang w:val="hr-HR" w:eastAsia="zh-CN"/>
        </w:rPr>
        <w:instrText xml:space="preserve"> ADDIN ZOTERO_ITEM CSL_CITATION {"citationID":"1808bp9dg8","properties":{"formattedCitation":"{\\rtf \\super 3\\nosupersub{}}","plainCitation":"3"},"citationItems":[{"id":47,"uris":["http://zotero.org/users/local/Ih9TiaeN/items/HN7X8IEU"],"uri":["http://zotero.org/users/local/Ih9TiaeN/items/HN7X8IEU"],"itemData":{"id":47,"type":"article-journal","title":"Induced-charge electrokinetic phenomena","container-title":"Current Opinion in Colloid &amp; Interface Science","page":"203-213","volume":"15","issue":"3","source":"ScienceDirect","abstract":"The field of nonlinear “induced-charge” electrokinetics is rapidly advancing, motivated by potential applications in microfluidics as well as by the unique opportunities it provides for probing fundamental scientific issues in electrokinetics. Over the past few years, several surprising theoretical predictions have been observed in experiments: (i) induced-charge electrophoresis of half-metallic Janus particles, perpendicular to a uniform AC field; (ii) microfluidic mixing around metallic structures by induced-charge electro-osmosis, and (iii) fast, high-pressure AC electro-osmotic pumping by non-planar electrode arrays, and ICEK effects upon the collective behavior of polarizable particle suspensions has been studied theoretically and computationally. A new experimental system enables a clean and direct comparison between theoretical predictions and measured ICEK flows, providing a route to fundamental studies of particular surfaces and high-throughput searches for optimal ICEK systems. Systematic discrepancies between theory and experiment have engendered the search for mechanisms, including new theories that account for electrochemical surface reactions, surface contamination, roughness, and the crowding of ions at high voltage. Promising directions for further research, both fundamental and applied, are discussed.","DOI":"10.1016/j.cocis.2010.01.003","ISSN":"1359-0294","journalAbbreviation":"Current Opinion in Colloid &amp; Interface Science","author":[{"family":"Bazant","given":"Martin Z."},{"family":"Squires","given":"Todd M."}],"issued":{"date-parts":[["2010",6]]},"accessed":{"date-parts":[["2013",8,11]]}}}],"schema":"https://github.com/citation-style-language/schema/raw/master/csl-citation.json"} </w:instrText>
      </w:r>
      <w:r w:rsidR="005A301C">
        <w:rPr>
          <w:lang w:val="hr-HR" w:eastAsia="zh-CN"/>
        </w:rPr>
        <w:fldChar w:fldCharType="separate"/>
      </w:r>
      <w:r w:rsidR="005A301C" w:rsidRPr="005A301C">
        <w:rPr>
          <w:vertAlign w:val="superscript"/>
        </w:rPr>
        <w:t>3</w:t>
      </w:r>
      <w:r w:rsidR="005A301C">
        <w:rPr>
          <w:lang w:val="hr-HR" w:eastAsia="zh-CN"/>
        </w:rPr>
        <w:fldChar w:fldCharType="end"/>
      </w:r>
      <w:r w:rsidR="005A301C">
        <w:rPr>
          <w:lang w:val="hr-HR" w:eastAsia="zh-CN"/>
        </w:rPr>
        <w:t xml:space="preserve"> </w:t>
      </w:r>
      <w:r w:rsidR="004A2D77">
        <w:rPr>
          <w:lang w:val="hr-HR" w:eastAsia="zh-CN"/>
        </w:rPr>
        <w:t>to externally controlled micromotors</w:t>
      </w:r>
      <w:r w:rsidR="005A301C">
        <w:rPr>
          <w:lang w:val="hr-HR" w:eastAsia="zh-CN"/>
        </w:rPr>
        <w:fldChar w:fldCharType="begin"/>
      </w:r>
      <w:r w:rsidR="005A301C">
        <w:rPr>
          <w:lang w:val="hr-HR" w:eastAsia="zh-CN"/>
        </w:rPr>
        <w:instrText xml:space="preserve"> ADDIN ZOTERO_ITEM CSL_CITATION {"citationID":"vli5lk1ia","properties":{"formattedCitation":"{\\rtf \\super 4\\nosupersub{}}","plainCitation":"4"},"citationItems":[{"id":204,"uris":["http://zotero.org/users/local/Ih9TiaeN/items/2H7Z5ZAX"],"uri":["http://zotero.org/users/local/Ih9TiaeN/items/2H7Z5ZAX"],"itemData":{"id":204,"type":"article-journal","title":"Spinning Janus doublets driven in uniform ac electric fields","container-title":"Physical Review E","page":"011003","volume":"89","issue":"1","source":"APS","abstract":"We provide an experimental proof of concept for a robust, continuously rotating microstructure—consisting of two metallodielectric (gold-polystyrene) Janus particles rigidly attached to each other—which is driven in uniform ac fields by asymmetric induced-charge electro-osmosis. The pairs (doublets) are stabilized on the substrate surface which is parallel to the plane of view and normal to the direction of the applied electric field. We find that the radius of orbit and angular velocity of the pair are predominantly dependent on the relative orientations of the interfaces between the metallic and dielectric hemispheres and that the electrohydrodynamic particle-particle interactions are small. Additionally, we verify that both the angular and linear velocities of the pair are proportional to the square of the applied field which is consistent with the theory for nonlinear electrokinetics. A simple kinematic rigid body model is used to predict the paths and doublet velocities (angular and linear) based on their relative orientations with good agreement.","DOI":"10.1103/PhysRevE.89.011003","journalAbbreviation":"Phys. Rev. E","author":[{"family":"Boymelgreen","given":"Alicia"},{"family":"Yossifon","given":"Gilad"},{"family":"Park","given":"Sinwook"},{"family":"Miloh","given":"Touvia"}],"issued":{"date-parts":[["2014",1,16]]},"accessed":{"date-parts":[["2014",1,27]],"season":"09:15:34"}}}],"schema":"https://github.com/citation-style-language/schema/raw/master/csl-citation.json"} </w:instrText>
      </w:r>
      <w:r w:rsidR="005A301C">
        <w:rPr>
          <w:lang w:val="hr-HR" w:eastAsia="zh-CN"/>
        </w:rPr>
        <w:fldChar w:fldCharType="separate"/>
      </w:r>
      <w:r w:rsidR="005A301C" w:rsidRPr="005A301C">
        <w:rPr>
          <w:vertAlign w:val="superscript"/>
        </w:rPr>
        <w:t>4</w:t>
      </w:r>
      <w:r w:rsidR="005A301C">
        <w:rPr>
          <w:lang w:val="hr-HR" w:eastAsia="zh-CN"/>
        </w:rPr>
        <w:fldChar w:fldCharType="end"/>
      </w:r>
      <w:r w:rsidR="004A2D77">
        <w:rPr>
          <w:lang w:val="hr-HR" w:eastAsia="zh-CN"/>
        </w:rPr>
        <w:t xml:space="preserve"> and mixers. The advantages of ac electric forcing over its more commonly used dc counterpart include lower applied voltages and the suppression of Faradaic reactions and bubble generation which can block and degrade microfluidic systems. </w:t>
      </w:r>
    </w:p>
    <w:p w:rsidR="002A1143" w:rsidRDefault="002A1143" w:rsidP="002A1143">
      <w:pPr>
        <w:jc w:val="both"/>
        <w:rPr>
          <w:lang w:eastAsia="zh-CN"/>
        </w:rPr>
      </w:pPr>
    </w:p>
    <w:p w:rsidR="002B24B3" w:rsidRDefault="00EF100C" w:rsidP="00E168BA">
      <w:pPr>
        <w:jc w:val="both"/>
        <w:rPr>
          <w:rFonts w:cs="Calibri"/>
        </w:rPr>
      </w:pPr>
      <w:r>
        <w:rPr>
          <w:lang w:eastAsia="zh-CN"/>
        </w:rPr>
        <w:t xml:space="preserve">The advent of </w:t>
      </w:r>
      <w:r w:rsidR="00913E30">
        <w:rPr>
          <w:lang w:eastAsia="zh-CN"/>
        </w:rPr>
        <w:t xml:space="preserve">such </w:t>
      </w:r>
      <w:r>
        <w:rPr>
          <w:lang w:eastAsia="zh-CN"/>
        </w:rPr>
        <w:t xml:space="preserve">non-linear electrokinetic flows </w:t>
      </w:r>
      <w:r w:rsidR="00913E30">
        <w:rPr>
          <w:lang w:eastAsia="zh-CN"/>
        </w:rPr>
        <w:t xml:space="preserve">is strongly dictated </w:t>
      </w:r>
      <w:r>
        <w:rPr>
          <w:lang w:eastAsia="zh-CN"/>
        </w:rPr>
        <w:t>by the frequency</w:t>
      </w:r>
      <w:r w:rsidR="004726C5">
        <w:rPr>
          <w:lang w:eastAsia="zh-CN"/>
        </w:rPr>
        <w:t xml:space="preserve"> of the applied field. </w:t>
      </w:r>
      <w:r w:rsidR="002B24B3">
        <w:rPr>
          <w:lang w:eastAsia="zh-CN"/>
        </w:rPr>
        <w:t xml:space="preserve">However, to date, there exists no unifying theory which can </w:t>
      </w:r>
      <w:r w:rsidR="007A3528">
        <w:rPr>
          <w:lang w:eastAsia="zh-CN"/>
        </w:rPr>
        <w:t>precisely</w:t>
      </w:r>
      <w:r w:rsidR="002B24B3">
        <w:rPr>
          <w:lang w:eastAsia="zh-CN"/>
        </w:rPr>
        <w:t xml:space="preserve"> predict </w:t>
      </w:r>
      <w:r w:rsidR="00E168BA">
        <w:rPr>
          <w:lang w:eastAsia="zh-CN"/>
        </w:rPr>
        <w:t xml:space="preserve">both the strength and </w:t>
      </w:r>
      <w:r w:rsidR="002B24B3">
        <w:rPr>
          <w:lang w:eastAsia="zh-CN"/>
        </w:rPr>
        <w:t>frequency dispersion of such electrokine</w:t>
      </w:r>
      <w:r w:rsidR="007A3528">
        <w:rPr>
          <w:lang w:eastAsia="zh-CN"/>
        </w:rPr>
        <w:t>tic flows, including the exact</w:t>
      </w:r>
      <w:r w:rsidR="002B24B3">
        <w:rPr>
          <w:lang w:eastAsia="zh-CN"/>
        </w:rPr>
        <w:t xml:space="preserve"> location of the maxima which is generally associated with the charge relaxation time</w:t>
      </w:r>
      <w:r w:rsidR="007A3528">
        <w:rPr>
          <w:lang w:eastAsia="zh-CN"/>
        </w:rPr>
        <w:t xml:space="preserve"> of the system,</w:t>
      </w:r>
      <w:r w:rsidR="002B24B3">
        <w:rPr>
          <w:lang w:eastAsia="zh-CN"/>
        </w:rPr>
        <w:t xml:space="preserve"> </w:t>
      </w:r>
      <w:r w:rsidR="002B24B3" w:rsidRPr="00FE00EE">
        <w:rPr>
          <w:rFonts w:cs="Calibri"/>
          <w:position w:val="-10"/>
        </w:rPr>
        <w:object w:dxaOrig="980" w:dyaOrig="3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75pt;height:17.25pt" o:ole="">
            <v:imagedata r:id="rId8" o:title=""/>
          </v:shape>
          <o:OLEObject Type="Embed" ProgID="Equation.DSMT4" ShapeID="_x0000_i1025" DrawAspect="Content" ObjectID="_1461441845" r:id="rId9"/>
        </w:object>
      </w:r>
      <w:r w:rsidR="002B24B3">
        <w:rPr>
          <w:rFonts w:cs="Calibri"/>
        </w:rPr>
        <w:t xml:space="preserve"> (where </w:t>
      </w:r>
      <w:r w:rsidR="002B24B3" w:rsidRPr="00FE00EE">
        <w:rPr>
          <w:rFonts w:cs="Calibri"/>
          <w:position w:val="-6"/>
        </w:rPr>
        <w:object w:dxaOrig="200" w:dyaOrig="220">
          <v:shape id="_x0000_i1026" type="#_x0000_t75" style="width:9.75pt;height:11.25pt" o:ole="">
            <v:imagedata r:id="rId10" o:title=""/>
          </v:shape>
          <o:OLEObject Type="Embed" ProgID="Equation.DSMT4" ShapeID="_x0000_i1026" DrawAspect="Content" ObjectID="_1461441846" r:id="rId11"/>
        </w:object>
      </w:r>
      <w:r w:rsidR="002B24B3">
        <w:rPr>
          <w:rFonts w:cs="Calibri"/>
        </w:rPr>
        <w:t xml:space="preserve"> is the characteristic length of the system (</w:t>
      </w:r>
      <w:r w:rsidR="00E168BA">
        <w:rPr>
          <w:rFonts w:cs="Calibri"/>
        </w:rPr>
        <w:t>for example,</w:t>
      </w:r>
      <w:r w:rsidR="002B24B3">
        <w:rPr>
          <w:rFonts w:cs="Calibri"/>
        </w:rPr>
        <w:t xml:space="preserve"> the distance between electrodes (ACEO) or radius of polarizable particle (ICEO)), </w:t>
      </w:r>
      <w:r w:rsidR="002B24B3" w:rsidRPr="00FE00EE">
        <w:rPr>
          <w:rFonts w:cs="Calibri"/>
          <w:position w:val="-6"/>
        </w:rPr>
        <w:object w:dxaOrig="220" w:dyaOrig="279">
          <v:shape id="_x0000_i1027" type="#_x0000_t75" style="width:11.25pt;height:14.25pt" o:ole="">
            <v:imagedata r:id="rId12" o:title=""/>
          </v:shape>
          <o:OLEObject Type="Embed" ProgID="Equation.DSMT4" ShapeID="_x0000_i1027" DrawAspect="Content" ObjectID="_1461441847" r:id="rId13"/>
        </w:object>
      </w:r>
      <w:r w:rsidR="002B24B3">
        <w:rPr>
          <w:rFonts w:cs="Calibri"/>
        </w:rPr>
        <w:t xml:space="preserve"> the thickness of the Debye layer and </w:t>
      </w:r>
      <w:r w:rsidR="002B24B3" w:rsidRPr="00FE00EE">
        <w:rPr>
          <w:rFonts w:cs="Calibri"/>
          <w:position w:val="-4"/>
        </w:rPr>
        <w:object w:dxaOrig="260" w:dyaOrig="260">
          <v:shape id="_x0000_i1028" type="#_x0000_t75" style="width:12.75pt;height:12.75pt" o:ole="">
            <v:imagedata r:id="rId14" o:title=""/>
          </v:shape>
          <o:OLEObject Type="Embed" ProgID="Equation.DSMT4" ShapeID="_x0000_i1028" DrawAspect="Content" ObjectID="_1461441848" r:id="rId15"/>
        </w:object>
      </w:r>
      <w:r w:rsidR="002B24B3">
        <w:rPr>
          <w:rFonts w:cs="Calibri"/>
        </w:rPr>
        <w:t xml:space="preserve"> the diffusivity of the suspending medium</w:t>
      </w:r>
      <w:r w:rsidR="00E168BA">
        <w:rPr>
          <w:rFonts w:cs="Calibri"/>
        </w:rPr>
        <w:t>)</w:t>
      </w:r>
      <w:r w:rsidR="002B24B3">
        <w:rPr>
          <w:rFonts w:cs="Calibri"/>
        </w:rPr>
        <w:t>.</w:t>
      </w:r>
      <w:r w:rsidR="0068012E">
        <w:rPr>
          <w:rFonts w:cs="Calibri"/>
        </w:rPr>
        <w:t xml:space="preserve"> On either side of this maximum, </w:t>
      </w:r>
      <w:r w:rsidR="004726C5">
        <w:rPr>
          <w:lang w:eastAsia="zh-CN"/>
        </w:rPr>
        <w:t>ACEO flows</w:t>
      </w:r>
      <w:r w:rsidR="00907E14">
        <w:rPr>
          <w:lang w:eastAsia="zh-CN"/>
        </w:rPr>
        <w:t xml:space="preserve"> are expected to</w:t>
      </w:r>
      <w:r w:rsidR="004726C5">
        <w:rPr>
          <w:lang w:eastAsia="zh-CN"/>
        </w:rPr>
        <w:t xml:space="preserve"> decay as the electrodes become fully screened </w:t>
      </w:r>
      <w:r w:rsidR="0068012E">
        <w:rPr>
          <w:lang w:eastAsia="zh-CN"/>
        </w:rPr>
        <w:t xml:space="preserve">(DC limit) </w:t>
      </w:r>
      <w:r w:rsidR="004726C5">
        <w:rPr>
          <w:lang w:eastAsia="zh-CN"/>
        </w:rPr>
        <w:t xml:space="preserve">while at high frequencies (tens to hundreds of kHz) the flow tends to zero as the </w:t>
      </w:r>
      <w:r w:rsidR="007A3528">
        <w:rPr>
          <w:lang w:eastAsia="zh-CN"/>
        </w:rPr>
        <w:t>Debye layer at the electrode surface has</w:t>
      </w:r>
      <w:r w:rsidR="004726C5">
        <w:rPr>
          <w:lang w:eastAsia="zh-CN"/>
        </w:rPr>
        <w:t xml:space="preserve"> insufficient time to charge. </w:t>
      </w:r>
      <w:r w:rsidR="0068012E">
        <w:rPr>
          <w:lang w:eastAsia="zh-CN"/>
        </w:rPr>
        <w:t>I</w:t>
      </w:r>
      <w:r w:rsidR="004726C5">
        <w:rPr>
          <w:lang w:eastAsia="zh-CN"/>
        </w:rPr>
        <w:t xml:space="preserve">n the case of ICEO, maximum velocity is actually predicted in the DC limit </w:t>
      </w:r>
      <w:r w:rsidR="006152CB">
        <w:rPr>
          <w:lang w:eastAsia="zh-CN"/>
        </w:rPr>
        <w:t>(although in practical systems electrode screening and faradaic reactions usually prevent this from occurring) while again decaying</w:t>
      </w:r>
      <w:r w:rsidR="004726C5">
        <w:rPr>
          <w:lang w:eastAsia="zh-CN"/>
        </w:rPr>
        <w:t xml:space="preserve"> </w:t>
      </w:r>
      <w:r w:rsidR="00907E14">
        <w:rPr>
          <w:lang w:eastAsia="zh-CN"/>
        </w:rPr>
        <w:t>beyond the charge relaxation time of the system.</w:t>
      </w:r>
      <w:r w:rsidR="006152CB" w:rsidRPr="006152CB">
        <w:rPr>
          <w:lang w:eastAsia="zh-CN"/>
        </w:rPr>
        <w:t xml:space="preserve"> </w:t>
      </w:r>
    </w:p>
    <w:p w:rsidR="002B24B3" w:rsidRDefault="002B24B3" w:rsidP="006152CB">
      <w:pPr>
        <w:jc w:val="both"/>
        <w:rPr>
          <w:rFonts w:cs="Calibri"/>
        </w:rPr>
      </w:pPr>
    </w:p>
    <w:p w:rsidR="00E35581" w:rsidRDefault="00DF5FA5" w:rsidP="007A3528">
      <w:pPr>
        <w:jc w:val="both"/>
      </w:pPr>
      <w:r>
        <w:rPr>
          <w:rFonts w:cs="Calibri"/>
        </w:rPr>
        <w:t xml:space="preserve">Using </w:t>
      </w:r>
      <w:r>
        <w:t>µPIV and temperature sensitive dyes we</w:t>
      </w:r>
      <w:r w:rsidR="007A3528">
        <w:rPr>
          <w:rFonts w:cs="Calibri"/>
        </w:rPr>
        <w:t xml:space="preserve"> demonstrate that these experimental tools can be used to assess the presence</w:t>
      </w:r>
      <w:r>
        <w:rPr>
          <w:rFonts w:cs="Calibri"/>
        </w:rPr>
        <w:t xml:space="preserve"> of </w:t>
      </w:r>
      <w:r w:rsidR="007A3528">
        <w:rPr>
          <w:rFonts w:cs="Calibri"/>
        </w:rPr>
        <w:t>additional physical phenomena</w:t>
      </w:r>
      <w:r>
        <w:rPr>
          <w:rFonts w:cs="Calibri"/>
        </w:rPr>
        <w:t xml:space="preserve"> such as dielectrophoresis, </w:t>
      </w:r>
      <w:proofErr w:type="spellStart"/>
      <w:r>
        <w:rPr>
          <w:rFonts w:cs="Calibri"/>
        </w:rPr>
        <w:t>electrothermal</w:t>
      </w:r>
      <w:proofErr w:type="spellEnd"/>
      <w:r>
        <w:rPr>
          <w:rFonts w:cs="Calibri"/>
        </w:rPr>
        <w:t xml:space="preserve"> flow and wall effects</w:t>
      </w:r>
      <w:r w:rsidR="007A3528">
        <w:rPr>
          <w:rFonts w:cs="Calibri"/>
        </w:rPr>
        <w:t xml:space="preserve"> which</w:t>
      </w:r>
      <w:r>
        <w:rPr>
          <w:rFonts w:cs="Calibri"/>
        </w:rPr>
        <w:t xml:space="preserve"> can compete with ind</w:t>
      </w:r>
      <w:r w:rsidR="007A3528">
        <w:rPr>
          <w:rFonts w:cs="Calibri"/>
        </w:rPr>
        <w:t xml:space="preserve">uced-charge electrokinetic flow, influencing </w:t>
      </w:r>
      <w:r>
        <w:rPr>
          <w:rFonts w:cs="Calibri"/>
        </w:rPr>
        <w:t xml:space="preserve">both the strength and frequency dispersion </w:t>
      </w:r>
      <w:r w:rsidR="007A3528">
        <w:rPr>
          <w:rFonts w:cs="Calibri"/>
        </w:rPr>
        <w:t xml:space="preserve">of the </w:t>
      </w:r>
      <w:proofErr w:type="spellStart"/>
      <w:r w:rsidR="007A3528">
        <w:rPr>
          <w:rFonts w:cs="Calibri"/>
        </w:rPr>
        <w:t>electrohydrodynamic</w:t>
      </w:r>
      <w:proofErr w:type="spellEnd"/>
      <w:r w:rsidR="007A3528">
        <w:rPr>
          <w:rFonts w:cs="Calibri"/>
        </w:rPr>
        <w:t xml:space="preserve"> flow</w:t>
      </w:r>
      <w:r>
        <w:rPr>
          <w:rFonts w:cs="Calibri"/>
        </w:rPr>
        <w:t>.</w:t>
      </w:r>
      <w:r w:rsidR="00BA6984">
        <w:rPr>
          <w:rFonts w:cs="Calibri"/>
        </w:rPr>
        <w:t xml:space="preserve"> Within the context of th</w:t>
      </w:r>
      <w:r w:rsidR="007A3528">
        <w:rPr>
          <w:rFonts w:cs="Calibri"/>
        </w:rPr>
        <w:t>is talk, we examine two very different</w:t>
      </w:r>
      <w:r w:rsidR="00BA6984">
        <w:rPr>
          <w:rFonts w:cs="Calibri"/>
        </w:rPr>
        <w:t xml:space="preserve"> geometries; asymmetric </w:t>
      </w:r>
      <w:proofErr w:type="spellStart"/>
      <w:r w:rsidR="00BA6984">
        <w:rPr>
          <w:rFonts w:cs="Calibri"/>
        </w:rPr>
        <w:t>metallodielectric</w:t>
      </w:r>
      <w:proofErr w:type="spellEnd"/>
      <w:r w:rsidR="00BA6984">
        <w:rPr>
          <w:rFonts w:cs="Calibri"/>
        </w:rPr>
        <w:t xml:space="preserve"> Janus particles and a weakly-polarizable dielectric</w:t>
      </w:r>
      <w:r w:rsidR="007A3528">
        <w:rPr>
          <w:rFonts w:cs="Calibri"/>
        </w:rPr>
        <w:t xml:space="preserve"> channel</w:t>
      </w:r>
      <w:r w:rsidR="00BA6984">
        <w:rPr>
          <w:rFonts w:cs="Calibri"/>
        </w:rPr>
        <w:t xml:space="preserve"> corner. </w:t>
      </w:r>
      <w:r w:rsidR="007A3528">
        <w:rPr>
          <w:rFonts w:cs="Calibri"/>
        </w:rPr>
        <w:t xml:space="preserve">The results are </w:t>
      </w:r>
      <w:r w:rsidR="005557E8">
        <w:t>of both fundamental and practical importance and may be used t</w:t>
      </w:r>
      <w:r>
        <w:t>o</w:t>
      </w:r>
      <w:r w:rsidR="005A301C">
        <w:t xml:space="preserve"> further refine non-linear electrokinetic theory and</w:t>
      </w:r>
      <w:r>
        <w:t xml:space="preserve"> optimize the flow parameters of electroosmotic pumps and the mobility of </w:t>
      </w:r>
      <w:proofErr w:type="spellStart"/>
      <w:r>
        <w:t>electrokinetically</w:t>
      </w:r>
      <w:proofErr w:type="spellEnd"/>
      <w:r>
        <w:t xml:space="preserve"> driven</w:t>
      </w:r>
      <w:r w:rsidR="005557E8">
        <w:t xml:space="preserve"> micromotors or carriers in lab-on-a-chip analysis systems.</w:t>
      </w:r>
    </w:p>
    <w:p w:rsidR="00530E49" w:rsidRDefault="00530E49" w:rsidP="0068012E">
      <w:pPr>
        <w:jc w:val="both"/>
      </w:pPr>
    </w:p>
    <w:p w:rsidR="005A301C" w:rsidRPr="005A301C" w:rsidRDefault="00530E49" w:rsidP="005A301C">
      <w:pPr>
        <w:pStyle w:val="Bibliography"/>
      </w:pPr>
      <w:r>
        <w:fldChar w:fldCharType="begin"/>
      </w:r>
      <w:r w:rsidR="005A301C">
        <w:instrText xml:space="preserve"> ADDIN ZOTERO_BIBL {"custom":[]} CSL_BIBLIOGRAPHY </w:instrText>
      </w:r>
      <w:r>
        <w:fldChar w:fldCharType="separate"/>
      </w:r>
      <w:r w:rsidR="005A301C" w:rsidRPr="005A301C">
        <w:t>1.</w:t>
      </w:r>
      <w:r w:rsidR="005A301C" w:rsidRPr="005A301C">
        <w:tab/>
        <w:t xml:space="preserve">Squires, T. M. &amp; Bazant, M. Z. Induced-charge electro-osmosis. </w:t>
      </w:r>
      <w:r w:rsidR="005A301C" w:rsidRPr="005A301C">
        <w:rPr>
          <w:i/>
          <w:iCs/>
        </w:rPr>
        <w:t>J. Fluid Mech.</w:t>
      </w:r>
      <w:r w:rsidR="005A301C" w:rsidRPr="005A301C">
        <w:t xml:space="preserve"> </w:t>
      </w:r>
      <w:r w:rsidR="005A301C" w:rsidRPr="005A301C">
        <w:rPr>
          <w:b/>
          <w:bCs/>
        </w:rPr>
        <w:t>509,</w:t>
      </w:r>
      <w:r w:rsidR="005A301C" w:rsidRPr="005A301C">
        <w:t xml:space="preserve"> 217–252 (2004).</w:t>
      </w:r>
    </w:p>
    <w:p w:rsidR="005A301C" w:rsidRPr="005A301C" w:rsidRDefault="005A301C" w:rsidP="005A301C">
      <w:pPr>
        <w:pStyle w:val="Bibliography"/>
      </w:pPr>
      <w:r w:rsidRPr="005A301C">
        <w:t>2.</w:t>
      </w:r>
      <w:r w:rsidRPr="005A301C">
        <w:tab/>
        <w:t xml:space="preserve">Ramos, A., Morgan, H., Green, N. G. &amp; Castellanos, A. AC Electric-Field-Induced Fluid Flow in Microelectrodes. </w:t>
      </w:r>
      <w:r w:rsidRPr="005A301C">
        <w:rPr>
          <w:i/>
          <w:iCs/>
        </w:rPr>
        <w:t>J. Colloid Interface Sci.</w:t>
      </w:r>
      <w:r w:rsidRPr="005A301C">
        <w:t xml:space="preserve"> </w:t>
      </w:r>
      <w:r w:rsidRPr="005A301C">
        <w:rPr>
          <w:b/>
          <w:bCs/>
        </w:rPr>
        <w:t>217,</w:t>
      </w:r>
      <w:r w:rsidRPr="005A301C">
        <w:t xml:space="preserve"> 420–422 (1999).</w:t>
      </w:r>
    </w:p>
    <w:p w:rsidR="005A301C" w:rsidRPr="005A301C" w:rsidRDefault="005A301C" w:rsidP="005A301C">
      <w:pPr>
        <w:pStyle w:val="Bibliography"/>
      </w:pPr>
      <w:r w:rsidRPr="005A301C">
        <w:t>3.</w:t>
      </w:r>
      <w:r w:rsidRPr="005A301C">
        <w:tab/>
        <w:t xml:space="preserve">Bazant, M. Z. &amp; Squires, T. M. Induced-charge electrokinetic phenomena. </w:t>
      </w:r>
      <w:r w:rsidRPr="005A301C">
        <w:rPr>
          <w:i/>
          <w:iCs/>
        </w:rPr>
        <w:t>Curr. Opin. Colloid Interface Sci.</w:t>
      </w:r>
      <w:r w:rsidRPr="005A301C">
        <w:t xml:space="preserve"> </w:t>
      </w:r>
      <w:r w:rsidRPr="005A301C">
        <w:rPr>
          <w:b/>
          <w:bCs/>
        </w:rPr>
        <w:t>15,</w:t>
      </w:r>
      <w:r w:rsidRPr="005A301C">
        <w:t xml:space="preserve"> 203–213 (2010).</w:t>
      </w:r>
    </w:p>
    <w:p w:rsidR="005A301C" w:rsidRPr="005A301C" w:rsidRDefault="005A301C" w:rsidP="005A301C">
      <w:pPr>
        <w:pStyle w:val="Bibliography"/>
      </w:pPr>
      <w:r w:rsidRPr="005A301C">
        <w:lastRenderedPageBreak/>
        <w:t>4.</w:t>
      </w:r>
      <w:r w:rsidRPr="005A301C">
        <w:tab/>
        <w:t xml:space="preserve">Boymelgreen, A., Yossifon, G., Park, S. &amp; Miloh, T. Spinning Janus doublets driven in uniform ac electric fields. </w:t>
      </w:r>
      <w:r w:rsidRPr="005A301C">
        <w:rPr>
          <w:i/>
          <w:iCs/>
        </w:rPr>
        <w:t>Phys. Rev. E</w:t>
      </w:r>
      <w:r w:rsidRPr="005A301C">
        <w:t xml:space="preserve"> </w:t>
      </w:r>
      <w:r w:rsidRPr="005A301C">
        <w:rPr>
          <w:b/>
          <w:bCs/>
        </w:rPr>
        <w:t>89,</w:t>
      </w:r>
      <w:r w:rsidRPr="005A301C">
        <w:t xml:space="preserve"> 011003 (2014).</w:t>
      </w:r>
    </w:p>
    <w:p w:rsidR="00530E49" w:rsidRPr="0068012E" w:rsidRDefault="00530E49" w:rsidP="0068012E">
      <w:pPr>
        <w:jc w:val="both"/>
      </w:pPr>
      <w:r>
        <w:fldChar w:fldCharType="end"/>
      </w:r>
      <w:bookmarkStart w:id="0" w:name="_GoBack"/>
      <w:bookmarkEnd w:id="0"/>
    </w:p>
    <w:sectPr w:rsidR="00530E49" w:rsidRPr="0068012E" w:rsidSect="00817429">
      <w:type w:val="continuous"/>
      <w:pgSz w:w="11907" w:h="16840"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180B" w:rsidRDefault="00F8180B" w:rsidP="00130937">
      <w:r>
        <w:separator/>
      </w:r>
    </w:p>
  </w:endnote>
  <w:endnote w:type="continuationSeparator" w:id="0">
    <w:p w:rsidR="00F8180B" w:rsidRDefault="00F8180B" w:rsidP="001309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180B" w:rsidRDefault="00F8180B" w:rsidP="00130937">
      <w:r>
        <w:separator/>
      </w:r>
    </w:p>
  </w:footnote>
  <w:footnote w:type="continuationSeparator" w:id="0">
    <w:p w:rsidR="00F8180B" w:rsidRDefault="00F8180B" w:rsidP="0013093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8FA5B94"/>
    <w:lvl w:ilvl="0">
      <w:start w:val="1"/>
      <w:numFmt w:val="decimal"/>
      <w:lvlText w:val="%1."/>
      <w:lvlJc w:val="left"/>
      <w:pPr>
        <w:tabs>
          <w:tab w:val="num" w:pos="1492"/>
        </w:tabs>
        <w:ind w:left="1492" w:hanging="360"/>
      </w:pPr>
    </w:lvl>
  </w:abstractNum>
  <w:abstractNum w:abstractNumId="1">
    <w:nsid w:val="FFFFFF7D"/>
    <w:multiLevelType w:val="singleLevel"/>
    <w:tmpl w:val="D1124590"/>
    <w:lvl w:ilvl="0">
      <w:start w:val="1"/>
      <w:numFmt w:val="decimal"/>
      <w:lvlText w:val="%1."/>
      <w:lvlJc w:val="left"/>
      <w:pPr>
        <w:tabs>
          <w:tab w:val="num" w:pos="1209"/>
        </w:tabs>
        <w:ind w:left="1209" w:hanging="360"/>
      </w:pPr>
    </w:lvl>
  </w:abstractNum>
  <w:abstractNum w:abstractNumId="2">
    <w:nsid w:val="FFFFFF7E"/>
    <w:multiLevelType w:val="singleLevel"/>
    <w:tmpl w:val="5A3071F2"/>
    <w:lvl w:ilvl="0">
      <w:start w:val="1"/>
      <w:numFmt w:val="decimal"/>
      <w:lvlText w:val="%1."/>
      <w:lvlJc w:val="left"/>
      <w:pPr>
        <w:tabs>
          <w:tab w:val="num" w:pos="926"/>
        </w:tabs>
        <w:ind w:left="926" w:hanging="360"/>
      </w:pPr>
    </w:lvl>
  </w:abstractNum>
  <w:abstractNum w:abstractNumId="3">
    <w:nsid w:val="FFFFFF7F"/>
    <w:multiLevelType w:val="singleLevel"/>
    <w:tmpl w:val="B3BCAC94"/>
    <w:lvl w:ilvl="0">
      <w:start w:val="1"/>
      <w:numFmt w:val="decimal"/>
      <w:lvlText w:val="%1."/>
      <w:lvlJc w:val="left"/>
      <w:pPr>
        <w:tabs>
          <w:tab w:val="num" w:pos="643"/>
        </w:tabs>
        <w:ind w:left="643" w:hanging="360"/>
      </w:pPr>
    </w:lvl>
  </w:abstractNum>
  <w:abstractNum w:abstractNumId="4">
    <w:nsid w:val="FFFFFF80"/>
    <w:multiLevelType w:val="singleLevel"/>
    <w:tmpl w:val="AD2298D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E296188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3B2A105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9E827C8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2083B64"/>
    <w:lvl w:ilvl="0">
      <w:start w:val="1"/>
      <w:numFmt w:val="decimal"/>
      <w:lvlText w:val="%1."/>
      <w:lvlJc w:val="left"/>
      <w:pPr>
        <w:tabs>
          <w:tab w:val="num" w:pos="360"/>
        </w:tabs>
        <w:ind w:left="360" w:hanging="360"/>
      </w:pPr>
    </w:lvl>
  </w:abstractNum>
  <w:abstractNum w:abstractNumId="9">
    <w:nsid w:val="FFFFFF89"/>
    <w:multiLevelType w:val="singleLevel"/>
    <w:tmpl w:val="AEB4B6B4"/>
    <w:lvl w:ilvl="0">
      <w:start w:val="1"/>
      <w:numFmt w:val="bullet"/>
      <w:lvlText w:val=""/>
      <w:lvlJc w:val="left"/>
      <w:pPr>
        <w:tabs>
          <w:tab w:val="num" w:pos="360"/>
        </w:tabs>
        <w:ind w:left="360" w:hanging="360"/>
      </w:pPr>
      <w:rPr>
        <w:rFonts w:ascii="Symbol" w:hAnsi="Symbol" w:hint="default"/>
      </w:rPr>
    </w:lvl>
  </w:abstractNum>
  <w:abstractNum w:abstractNumId="10">
    <w:nsid w:val="521075BC"/>
    <w:multiLevelType w:val="multilevel"/>
    <w:tmpl w:val="07E40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1366E86"/>
    <w:multiLevelType w:val="hybridMultilevel"/>
    <w:tmpl w:val="A7725E7E"/>
    <w:lvl w:ilvl="0" w:tplc="0409000F">
      <w:start w:val="1"/>
      <w:numFmt w:val="decimal"/>
      <w:lvlText w:val="%1."/>
      <w:lvlJc w:val="left"/>
      <w:pPr>
        <w:tabs>
          <w:tab w:val="num" w:pos="420"/>
        </w:tabs>
        <w:ind w:left="420" w:hanging="420"/>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2">
    <w:nsid w:val="78065D49"/>
    <w:multiLevelType w:val="hybridMultilevel"/>
    <w:tmpl w:val="EB2460D2"/>
    <w:lvl w:ilvl="0" w:tplc="04090001">
      <w:start w:val="1"/>
      <w:numFmt w:val="bullet"/>
      <w:lvlText w:val=""/>
      <w:lvlJc w:val="left"/>
      <w:pPr>
        <w:tabs>
          <w:tab w:val="num" w:pos="420"/>
        </w:tabs>
        <w:ind w:left="420" w:hanging="420"/>
      </w:pPr>
      <w:rPr>
        <w:rFonts w:ascii="Wingdings" w:hAnsi="Wingdings" w:hint="default"/>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num w:numId="1">
    <w:abstractNumId w:val="12"/>
  </w:num>
  <w:num w:numId="2">
    <w:abstractNumId w:val="11"/>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autoHyphenation/>
  <w:hyphenationZone w:val="357"/>
  <w:noPunctuationKerning/>
  <w:characterSpacingControl w:val="doNotCompress"/>
  <w:hdrShapeDefaults>
    <o:shapedefaults v:ext="edit" spidmax="2049">
      <v:textbox inset="5.85pt,.7pt,5.85pt,.7pt"/>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1A3D"/>
    <w:rsid w:val="00010F40"/>
    <w:rsid w:val="00055A77"/>
    <w:rsid w:val="00084666"/>
    <w:rsid w:val="000A1B7E"/>
    <w:rsid w:val="000A26A2"/>
    <w:rsid w:val="000C60FB"/>
    <w:rsid w:val="000F5A08"/>
    <w:rsid w:val="00104953"/>
    <w:rsid w:val="00120007"/>
    <w:rsid w:val="00130937"/>
    <w:rsid w:val="00146673"/>
    <w:rsid w:val="00161223"/>
    <w:rsid w:val="00171573"/>
    <w:rsid w:val="00180164"/>
    <w:rsid w:val="00193949"/>
    <w:rsid w:val="00195207"/>
    <w:rsid w:val="001B75DF"/>
    <w:rsid w:val="00204EB0"/>
    <w:rsid w:val="00280A04"/>
    <w:rsid w:val="002A1143"/>
    <w:rsid w:val="002B24B3"/>
    <w:rsid w:val="002C1C5F"/>
    <w:rsid w:val="002F1409"/>
    <w:rsid w:val="00310BCD"/>
    <w:rsid w:val="0032753D"/>
    <w:rsid w:val="00344227"/>
    <w:rsid w:val="003B6465"/>
    <w:rsid w:val="003E78A6"/>
    <w:rsid w:val="004540CC"/>
    <w:rsid w:val="004726C5"/>
    <w:rsid w:val="004832EF"/>
    <w:rsid w:val="004A2D77"/>
    <w:rsid w:val="004D0FFB"/>
    <w:rsid w:val="004E1135"/>
    <w:rsid w:val="005135B4"/>
    <w:rsid w:val="00530E49"/>
    <w:rsid w:val="00545928"/>
    <w:rsid w:val="0055414E"/>
    <w:rsid w:val="005557E8"/>
    <w:rsid w:val="00563DE4"/>
    <w:rsid w:val="0057171C"/>
    <w:rsid w:val="00584FF0"/>
    <w:rsid w:val="005A2062"/>
    <w:rsid w:val="005A301C"/>
    <w:rsid w:val="005B3ADA"/>
    <w:rsid w:val="006152CB"/>
    <w:rsid w:val="00615873"/>
    <w:rsid w:val="00621022"/>
    <w:rsid w:val="00630D30"/>
    <w:rsid w:val="00654C03"/>
    <w:rsid w:val="0068012E"/>
    <w:rsid w:val="006E06A8"/>
    <w:rsid w:val="006E32FF"/>
    <w:rsid w:val="006F4635"/>
    <w:rsid w:val="00701A3D"/>
    <w:rsid w:val="0073440E"/>
    <w:rsid w:val="007534D9"/>
    <w:rsid w:val="007708F8"/>
    <w:rsid w:val="00770FF9"/>
    <w:rsid w:val="00795D81"/>
    <w:rsid w:val="00796F97"/>
    <w:rsid w:val="007A3528"/>
    <w:rsid w:val="0081314A"/>
    <w:rsid w:val="00817429"/>
    <w:rsid w:val="0085415D"/>
    <w:rsid w:val="00881B2D"/>
    <w:rsid w:val="008A1797"/>
    <w:rsid w:val="008D21AF"/>
    <w:rsid w:val="008E28F3"/>
    <w:rsid w:val="00907604"/>
    <w:rsid w:val="00907E14"/>
    <w:rsid w:val="00913E30"/>
    <w:rsid w:val="009616DA"/>
    <w:rsid w:val="009B4A1A"/>
    <w:rsid w:val="009C137E"/>
    <w:rsid w:val="00A061AF"/>
    <w:rsid w:val="00A55AC8"/>
    <w:rsid w:val="00AE3A19"/>
    <w:rsid w:val="00B121C5"/>
    <w:rsid w:val="00B465CC"/>
    <w:rsid w:val="00B65DC3"/>
    <w:rsid w:val="00B865F7"/>
    <w:rsid w:val="00B86DBE"/>
    <w:rsid w:val="00BA6984"/>
    <w:rsid w:val="00BA71FB"/>
    <w:rsid w:val="00BB31EB"/>
    <w:rsid w:val="00BF60B0"/>
    <w:rsid w:val="00C33B39"/>
    <w:rsid w:val="00C36ACF"/>
    <w:rsid w:val="00C54192"/>
    <w:rsid w:val="00C84CBD"/>
    <w:rsid w:val="00C85280"/>
    <w:rsid w:val="00CC3F3C"/>
    <w:rsid w:val="00CC69D9"/>
    <w:rsid w:val="00CE4862"/>
    <w:rsid w:val="00D5676F"/>
    <w:rsid w:val="00D7500A"/>
    <w:rsid w:val="00D7794E"/>
    <w:rsid w:val="00D8453F"/>
    <w:rsid w:val="00DA27D3"/>
    <w:rsid w:val="00DB4D7E"/>
    <w:rsid w:val="00DD268B"/>
    <w:rsid w:val="00DE16C0"/>
    <w:rsid w:val="00DF5FA5"/>
    <w:rsid w:val="00E0070B"/>
    <w:rsid w:val="00E03A99"/>
    <w:rsid w:val="00E168BA"/>
    <w:rsid w:val="00E279F7"/>
    <w:rsid w:val="00E35581"/>
    <w:rsid w:val="00E4227F"/>
    <w:rsid w:val="00EC4950"/>
    <w:rsid w:val="00EE6C5E"/>
    <w:rsid w:val="00EF100C"/>
    <w:rsid w:val="00EF3CFA"/>
    <w:rsid w:val="00EF517D"/>
    <w:rsid w:val="00F1072F"/>
    <w:rsid w:val="00F2030F"/>
    <w:rsid w:val="00F231C8"/>
    <w:rsid w:val="00F8180B"/>
    <w:rsid w:val="00FA1696"/>
    <w:rsid w:val="00FE00EE"/>
  </w:rsids>
  <m:mathPr>
    <m:mathFont m:val="Cambria Math"/>
    <m:brkBin m:val="before"/>
    <m:brkBinSub m:val="--"/>
    <m:smallFrac m:val="0"/>
    <m:dispDef/>
    <m:lMargin m:val="0"/>
    <m:rMargin m:val="0"/>
    <m:defJc m:val="centerGroup"/>
    <m:wrapIndent m:val="1440"/>
    <m:intLim m:val="subSup"/>
    <m:naryLim m:val="undOvr"/>
  </m:mathPr>
  <w:themeFontLang w:val="nl-BE" w:eastAsia="zh-CN"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nl-BE"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val="en-US" w:eastAsia="en-US"/>
    </w:rPr>
  </w:style>
  <w:style w:type="paragraph" w:styleId="Heading1">
    <w:name w:val="heading 1"/>
    <w:basedOn w:val="Normal"/>
    <w:next w:val="Normal"/>
    <w:qFormat/>
    <w:pPr>
      <w:keepNext/>
      <w:outlineLvl w:val="0"/>
    </w:pPr>
    <w:rPr>
      <w:b/>
      <w:bCs/>
      <w:lang w:val="hr-HR"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safiiliation">
    <w:name w:val="Author's afiiliation"/>
    <w:basedOn w:val="Authors"/>
    <w:next w:val="Papertext"/>
    <w:rPr>
      <w:i/>
    </w:rPr>
  </w:style>
  <w:style w:type="paragraph" w:customStyle="1" w:styleId="PaperTitle">
    <w:name w:val="Paper Title"/>
    <w:basedOn w:val="Normal"/>
    <w:next w:val="Authors"/>
    <w:pPr>
      <w:jc w:val="center"/>
    </w:pPr>
    <w:rPr>
      <w:b/>
      <w:caps/>
      <w:sz w:val="28"/>
      <w:szCs w:val="28"/>
    </w:rPr>
  </w:style>
  <w:style w:type="paragraph" w:customStyle="1" w:styleId="Authors">
    <w:name w:val="Authors"/>
    <w:basedOn w:val="Normal"/>
    <w:next w:val="Papertext"/>
    <w:pPr>
      <w:jc w:val="center"/>
    </w:pPr>
    <w:rPr>
      <w:lang w:val="hr-HR"/>
    </w:rPr>
  </w:style>
  <w:style w:type="paragraph" w:customStyle="1" w:styleId="Papertext">
    <w:name w:val="Paper text"/>
    <w:basedOn w:val="Normal"/>
    <w:pPr>
      <w:jc w:val="both"/>
    </w:pPr>
  </w:style>
  <w:style w:type="character" w:customStyle="1" w:styleId="AuthorsChar">
    <w:name w:val="Authors Char"/>
    <w:basedOn w:val="DefaultParagraphFont"/>
    <w:rPr>
      <w:sz w:val="24"/>
      <w:szCs w:val="24"/>
      <w:lang w:val="hr-HR" w:eastAsia="en-US" w:bidi="ar-SA"/>
    </w:rPr>
  </w:style>
  <w:style w:type="character" w:customStyle="1" w:styleId="AuthorsafiiliationChar">
    <w:name w:val="Author's afiiliation Char"/>
    <w:basedOn w:val="AuthorsChar"/>
    <w:rPr>
      <w:i/>
      <w:sz w:val="24"/>
      <w:szCs w:val="24"/>
      <w:lang w:val="hr-HR" w:eastAsia="en-US" w:bidi="ar-SA"/>
    </w:rPr>
  </w:style>
  <w:style w:type="character" w:styleId="Hyperlink">
    <w:name w:val="Hyperlink"/>
    <w:basedOn w:val="DefaultParagraphFont"/>
    <w:semiHidden/>
    <w:rPr>
      <w:color w:val="FFFFFF"/>
      <w:u w:val="single"/>
    </w:rPr>
  </w:style>
  <w:style w:type="character" w:styleId="Strong">
    <w:name w:val="Strong"/>
    <w:basedOn w:val="DefaultParagraphFont"/>
    <w:qFormat/>
    <w:rPr>
      <w:b/>
      <w:bCs/>
    </w:rPr>
  </w:style>
  <w:style w:type="character" w:styleId="Emphasis">
    <w:name w:val="Emphasis"/>
    <w:basedOn w:val="DefaultParagraphFont"/>
    <w:qFormat/>
    <w:rPr>
      <w:i/>
      <w:iCs/>
    </w:rPr>
  </w:style>
  <w:style w:type="paragraph" w:styleId="Header">
    <w:name w:val="header"/>
    <w:basedOn w:val="Normal"/>
    <w:link w:val="HeaderChar"/>
    <w:uiPriority w:val="99"/>
    <w:semiHidden/>
    <w:unhideWhenUsed/>
    <w:rsid w:val="00130937"/>
    <w:pPr>
      <w:tabs>
        <w:tab w:val="center" w:pos="4252"/>
        <w:tab w:val="right" w:pos="8504"/>
      </w:tabs>
      <w:snapToGrid w:val="0"/>
    </w:pPr>
  </w:style>
  <w:style w:type="character" w:customStyle="1" w:styleId="HeaderChar">
    <w:name w:val="Header Char"/>
    <w:basedOn w:val="DefaultParagraphFont"/>
    <w:link w:val="Header"/>
    <w:uiPriority w:val="99"/>
    <w:semiHidden/>
    <w:rsid w:val="00130937"/>
    <w:rPr>
      <w:sz w:val="24"/>
      <w:szCs w:val="24"/>
      <w:lang w:eastAsia="en-US"/>
    </w:rPr>
  </w:style>
  <w:style w:type="paragraph" w:styleId="Footer">
    <w:name w:val="footer"/>
    <w:basedOn w:val="Normal"/>
    <w:link w:val="FooterChar"/>
    <w:uiPriority w:val="99"/>
    <w:semiHidden/>
    <w:unhideWhenUsed/>
    <w:rsid w:val="00130937"/>
    <w:pPr>
      <w:tabs>
        <w:tab w:val="center" w:pos="4252"/>
        <w:tab w:val="right" w:pos="8504"/>
      </w:tabs>
      <w:snapToGrid w:val="0"/>
    </w:pPr>
  </w:style>
  <w:style w:type="character" w:customStyle="1" w:styleId="FooterChar">
    <w:name w:val="Footer Char"/>
    <w:basedOn w:val="DefaultParagraphFont"/>
    <w:link w:val="Footer"/>
    <w:uiPriority w:val="99"/>
    <w:semiHidden/>
    <w:rsid w:val="00130937"/>
    <w:rPr>
      <w:sz w:val="24"/>
      <w:szCs w:val="24"/>
      <w:lang w:eastAsia="en-US"/>
    </w:rPr>
  </w:style>
  <w:style w:type="paragraph" w:styleId="BalloonText">
    <w:name w:val="Balloon Text"/>
    <w:basedOn w:val="Normal"/>
    <w:link w:val="BalloonTextChar"/>
    <w:rsid w:val="0081314A"/>
    <w:rPr>
      <w:rFonts w:ascii="Tahoma" w:hAnsi="Tahoma" w:cs="Tahoma"/>
      <w:sz w:val="16"/>
      <w:szCs w:val="16"/>
    </w:rPr>
  </w:style>
  <w:style w:type="character" w:customStyle="1" w:styleId="BalloonTextChar">
    <w:name w:val="Balloon Text Char"/>
    <w:basedOn w:val="DefaultParagraphFont"/>
    <w:link w:val="BalloonText"/>
    <w:rsid w:val="0081314A"/>
    <w:rPr>
      <w:rFonts w:ascii="Tahoma" w:hAnsi="Tahoma" w:cs="Tahoma"/>
      <w:sz w:val="16"/>
      <w:szCs w:val="16"/>
      <w:lang w:val="en-US" w:eastAsia="en-US"/>
    </w:rPr>
  </w:style>
  <w:style w:type="character" w:styleId="CommentReference">
    <w:name w:val="annotation reference"/>
    <w:basedOn w:val="DefaultParagraphFont"/>
    <w:rsid w:val="007534D9"/>
    <w:rPr>
      <w:sz w:val="16"/>
      <w:szCs w:val="16"/>
    </w:rPr>
  </w:style>
  <w:style w:type="paragraph" w:styleId="CommentText">
    <w:name w:val="annotation text"/>
    <w:basedOn w:val="Normal"/>
    <w:link w:val="CommentTextChar"/>
    <w:rsid w:val="007534D9"/>
    <w:rPr>
      <w:sz w:val="20"/>
      <w:szCs w:val="20"/>
    </w:rPr>
  </w:style>
  <w:style w:type="character" w:customStyle="1" w:styleId="CommentTextChar">
    <w:name w:val="Comment Text Char"/>
    <w:basedOn w:val="DefaultParagraphFont"/>
    <w:link w:val="CommentText"/>
    <w:rsid w:val="007534D9"/>
    <w:rPr>
      <w:lang w:val="en-US" w:eastAsia="en-US"/>
    </w:rPr>
  </w:style>
  <w:style w:type="paragraph" w:styleId="CommentSubject">
    <w:name w:val="annotation subject"/>
    <w:basedOn w:val="CommentText"/>
    <w:next w:val="CommentText"/>
    <w:link w:val="CommentSubjectChar"/>
    <w:rsid w:val="007534D9"/>
    <w:rPr>
      <w:b/>
      <w:bCs/>
    </w:rPr>
  </w:style>
  <w:style w:type="character" w:customStyle="1" w:styleId="CommentSubjectChar">
    <w:name w:val="Comment Subject Char"/>
    <w:basedOn w:val="CommentTextChar"/>
    <w:link w:val="CommentSubject"/>
    <w:rsid w:val="007534D9"/>
    <w:rPr>
      <w:b/>
      <w:bCs/>
      <w:lang w:val="en-US" w:eastAsia="en-US"/>
    </w:rPr>
  </w:style>
  <w:style w:type="paragraph" w:styleId="Bibliography">
    <w:name w:val="Bibliography"/>
    <w:basedOn w:val="Normal"/>
    <w:next w:val="Normal"/>
    <w:uiPriority w:val="37"/>
    <w:unhideWhenUsed/>
    <w:rsid w:val="008E28F3"/>
    <w:pPr>
      <w:tabs>
        <w:tab w:val="left" w:pos="264"/>
      </w:tabs>
      <w:ind w:left="264" w:hanging="264"/>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nl-BE"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val="en-US" w:eastAsia="en-US"/>
    </w:rPr>
  </w:style>
  <w:style w:type="paragraph" w:styleId="Heading1">
    <w:name w:val="heading 1"/>
    <w:basedOn w:val="Normal"/>
    <w:next w:val="Normal"/>
    <w:qFormat/>
    <w:pPr>
      <w:keepNext/>
      <w:outlineLvl w:val="0"/>
    </w:pPr>
    <w:rPr>
      <w:b/>
      <w:bCs/>
      <w:lang w:val="hr-HR"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safiiliation">
    <w:name w:val="Author's afiiliation"/>
    <w:basedOn w:val="Authors"/>
    <w:next w:val="Papertext"/>
    <w:rPr>
      <w:i/>
    </w:rPr>
  </w:style>
  <w:style w:type="paragraph" w:customStyle="1" w:styleId="PaperTitle">
    <w:name w:val="Paper Title"/>
    <w:basedOn w:val="Normal"/>
    <w:next w:val="Authors"/>
    <w:pPr>
      <w:jc w:val="center"/>
    </w:pPr>
    <w:rPr>
      <w:b/>
      <w:caps/>
      <w:sz w:val="28"/>
      <w:szCs w:val="28"/>
    </w:rPr>
  </w:style>
  <w:style w:type="paragraph" w:customStyle="1" w:styleId="Authors">
    <w:name w:val="Authors"/>
    <w:basedOn w:val="Normal"/>
    <w:next w:val="Papertext"/>
    <w:pPr>
      <w:jc w:val="center"/>
    </w:pPr>
    <w:rPr>
      <w:lang w:val="hr-HR"/>
    </w:rPr>
  </w:style>
  <w:style w:type="paragraph" w:customStyle="1" w:styleId="Papertext">
    <w:name w:val="Paper text"/>
    <w:basedOn w:val="Normal"/>
    <w:pPr>
      <w:jc w:val="both"/>
    </w:pPr>
  </w:style>
  <w:style w:type="character" w:customStyle="1" w:styleId="AuthorsChar">
    <w:name w:val="Authors Char"/>
    <w:basedOn w:val="DefaultParagraphFont"/>
    <w:rPr>
      <w:sz w:val="24"/>
      <w:szCs w:val="24"/>
      <w:lang w:val="hr-HR" w:eastAsia="en-US" w:bidi="ar-SA"/>
    </w:rPr>
  </w:style>
  <w:style w:type="character" w:customStyle="1" w:styleId="AuthorsafiiliationChar">
    <w:name w:val="Author's afiiliation Char"/>
    <w:basedOn w:val="AuthorsChar"/>
    <w:rPr>
      <w:i/>
      <w:sz w:val="24"/>
      <w:szCs w:val="24"/>
      <w:lang w:val="hr-HR" w:eastAsia="en-US" w:bidi="ar-SA"/>
    </w:rPr>
  </w:style>
  <w:style w:type="character" w:styleId="Hyperlink">
    <w:name w:val="Hyperlink"/>
    <w:basedOn w:val="DefaultParagraphFont"/>
    <w:semiHidden/>
    <w:rPr>
      <w:color w:val="FFFFFF"/>
      <w:u w:val="single"/>
    </w:rPr>
  </w:style>
  <w:style w:type="character" w:styleId="Strong">
    <w:name w:val="Strong"/>
    <w:basedOn w:val="DefaultParagraphFont"/>
    <w:qFormat/>
    <w:rPr>
      <w:b/>
      <w:bCs/>
    </w:rPr>
  </w:style>
  <w:style w:type="character" w:styleId="Emphasis">
    <w:name w:val="Emphasis"/>
    <w:basedOn w:val="DefaultParagraphFont"/>
    <w:qFormat/>
    <w:rPr>
      <w:i/>
      <w:iCs/>
    </w:rPr>
  </w:style>
  <w:style w:type="paragraph" w:styleId="Header">
    <w:name w:val="header"/>
    <w:basedOn w:val="Normal"/>
    <w:link w:val="HeaderChar"/>
    <w:uiPriority w:val="99"/>
    <w:semiHidden/>
    <w:unhideWhenUsed/>
    <w:rsid w:val="00130937"/>
    <w:pPr>
      <w:tabs>
        <w:tab w:val="center" w:pos="4252"/>
        <w:tab w:val="right" w:pos="8504"/>
      </w:tabs>
      <w:snapToGrid w:val="0"/>
    </w:pPr>
  </w:style>
  <w:style w:type="character" w:customStyle="1" w:styleId="HeaderChar">
    <w:name w:val="Header Char"/>
    <w:basedOn w:val="DefaultParagraphFont"/>
    <w:link w:val="Header"/>
    <w:uiPriority w:val="99"/>
    <w:semiHidden/>
    <w:rsid w:val="00130937"/>
    <w:rPr>
      <w:sz w:val="24"/>
      <w:szCs w:val="24"/>
      <w:lang w:eastAsia="en-US"/>
    </w:rPr>
  </w:style>
  <w:style w:type="paragraph" w:styleId="Footer">
    <w:name w:val="footer"/>
    <w:basedOn w:val="Normal"/>
    <w:link w:val="FooterChar"/>
    <w:uiPriority w:val="99"/>
    <w:semiHidden/>
    <w:unhideWhenUsed/>
    <w:rsid w:val="00130937"/>
    <w:pPr>
      <w:tabs>
        <w:tab w:val="center" w:pos="4252"/>
        <w:tab w:val="right" w:pos="8504"/>
      </w:tabs>
      <w:snapToGrid w:val="0"/>
    </w:pPr>
  </w:style>
  <w:style w:type="character" w:customStyle="1" w:styleId="FooterChar">
    <w:name w:val="Footer Char"/>
    <w:basedOn w:val="DefaultParagraphFont"/>
    <w:link w:val="Footer"/>
    <w:uiPriority w:val="99"/>
    <w:semiHidden/>
    <w:rsid w:val="00130937"/>
    <w:rPr>
      <w:sz w:val="24"/>
      <w:szCs w:val="24"/>
      <w:lang w:eastAsia="en-US"/>
    </w:rPr>
  </w:style>
  <w:style w:type="paragraph" w:styleId="BalloonText">
    <w:name w:val="Balloon Text"/>
    <w:basedOn w:val="Normal"/>
    <w:link w:val="BalloonTextChar"/>
    <w:rsid w:val="0081314A"/>
    <w:rPr>
      <w:rFonts w:ascii="Tahoma" w:hAnsi="Tahoma" w:cs="Tahoma"/>
      <w:sz w:val="16"/>
      <w:szCs w:val="16"/>
    </w:rPr>
  </w:style>
  <w:style w:type="character" w:customStyle="1" w:styleId="BalloonTextChar">
    <w:name w:val="Balloon Text Char"/>
    <w:basedOn w:val="DefaultParagraphFont"/>
    <w:link w:val="BalloonText"/>
    <w:rsid w:val="0081314A"/>
    <w:rPr>
      <w:rFonts w:ascii="Tahoma" w:hAnsi="Tahoma" w:cs="Tahoma"/>
      <w:sz w:val="16"/>
      <w:szCs w:val="16"/>
      <w:lang w:val="en-US" w:eastAsia="en-US"/>
    </w:rPr>
  </w:style>
  <w:style w:type="character" w:styleId="CommentReference">
    <w:name w:val="annotation reference"/>
    <w:basedOn w:val="DefaultParagraphFont"/>
    <w:rsid w:val="007534D9"/>
    <w:rPr>
      <w:sz w:val="16"/>
      <w:szCs w:val="16"/>
    </w:rPr>
  </w:style>
  <w:style w:type="paragraph" w:styleId="CommentText">
    <w:name w:val="annotation text"/>
    <w:basedOn w:val="Normal"/>
    <w:link w:val="CommentTextChar"/>
    <w:rsid w:val="007534D9"/>
    <w:rPr>
      <w:sz w:val="20"/>
      <w:szCs w:val="20"/>
    </w:rPr>
  </w:style>
  <w:style w:type="character" w:customStyle="1" w:styleId="CommentTextChar">
    <w:name w:val="Comment Text Char"/>
    <w:basedOn w:val="DefaultParagraphFont"/>
    <w:link w:val="CommentText"/>
    <w:rsid w:val="007534D9"/>
    <w:rPr>
      <w:lang w:val="en-US" w:eastAsia="en-US"/>
    </w:rPr>
  </w:style>
  <w:style w:type="paragraph" w:styleId="CommentSubject">
    <w:name w:val="annotation subject"/>
    <w:basedOn w:val="CommentText"/>
    <w:next w:val="CommentText"/>
    <w:link w:val="CommentSubjectChar"/>
    <w:rsid w:val="007534D9"/>
    <w:rPr>
      <w:b/>
      <w:bCs/>
    </w:rPr>
  </w:style>
  <w:style w:type="character" w:customStyle="1" w:styleId="CommentSubjectChar">
    <w:name w:val="Comment Subject Char"/>
    <w:basedOn w:val="CommentTextChar"/>
    <w:link w:val="CommentSubject"/>
    <w:rsid w:val="007534D9"/>
    <w:rPr>
      <w:b/>
      <w:bCs/>
      <w:lang w:val="en-US" w:eastAsia="en-US"/>
    </w:rPr>
  </w:style>
  <w:style w:type="paragraph" w:styleId="Bibliography">
    <w:name w:val="Bibliography"/>
    <w:basedOn w:val="Normal"/>
    <w:next w:val="Normal"/>
    <w:uiPriority w:val="37"/>
    <w:unhideWhenUsed/>
    <w:rsid w:val="008E28F3"/>
    <w:pPr>
      <w:tabs>
        <w:tab w:val="left" w:pos="264"/>
      </w:tabs>
      <w:ind w:left="264" w:hanging="26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29680">
      <w:bodyDiv w:val="1"/>
      <w:marLeft w:val="0"/>
      <w:marRight w:val="0"/>
      <w:marTop w:val="0"/>
      <w:marBottom w:val="0"/>
      <w:divBdr>
        <w:top w:val="none" w:sz="0" w:space="0" w:color="auto"/>
        <w:left w:val="none" w:sz="0" w:space="0" w:color="auto"/>
        <w:bottom w:val="none" w:sz="0" w:space="0" w:color="auto"/>
        <w:right w:val="none" w:sz="0" w:space="0" w:color="auto"/>
      </w:divBdr>
      <w:divsChild>
        <w:div w:id="383526958">
          <w:marLeft w:val="0"/>
          <w:marRight w:val="0"/>
          <w:marTop w:val="100"/>
          <w:marBottom w:val="100"/>
          <w:divBdr>
            <w:top w:val="none" w:sz="0" w:space="0" w:color="auto"/>
            <w:left w:val="none" w:sz="0" w:space="0" w:color="auto"/>
            <w:bottom w:val="none" w:sz="0" w:space="0" w:color="auto"/>
            <w:right w:val="none" w:sz="0" w:space="0" w:color="auto"/>
          </w:divBdr>
          <w:divsChild>
            <w:div w:id="236937704">
              <w:marLeft w:val="0"/>
              <w:marRight w:val="0"/>
              <w:marTop w:val="0"/>
              <w:marBottom w:val="0"/>
              <w:divBdr>
                <w:top w:val="none" w:sz="0" w:space="0" w:color="auto"/>
                <w:left w:val="single" w:sz="6" w:space="0" w:color="F2F2F2"/>
                <w:bottom w:val="none" w:sz="0" w:space="0" w:color="auto"/>
                <w:right w:val="single" w:sz="6" w:space="0" w:color="F2F2F2"/>
              </w:divBdr>
              <w:divsChild>
                <w:div w:id="568073322">
                  <w:marLeft w:val="105"/>
                  <w:marRight w:val="105"/>
                  <w:marTop w:val="105"/>
                  <w:marBottom w:val="0"/>
                  <w:divBdr>
                    <w:top w:val="none" w:sz="0" w:space="0" w:color="auto"/>
                    <w:left w:val="none" w:sz="0" w:space="0" w:color="auto"/>
                    <w:bottom w:val="none" w:sz="0" w:space="0" w:color="auto"/>
                    <w:right w:val="none" w:sz="0" w:space="0" w:color="auto"/>
                  </w:divBdr>
                </w:div>
              </w:divsChild>
            </w:div>
          </w:divsChild>
        </w:div>
      </w:divsChild>
    </w:div>
    <w:div w:id="1019701972">
      <w:bodyDiv w:val="1"/>
      <w:marLeft w:val="0"/>
      <w:marRight w:val="0"/>
      <w:marTop w:val="0"/>
      <w:marBottom w:val="0"/>
      <w:divBdr>
        <w:top w:val="none" w:sz="0" w:space="0" w:color="auto"/>
        <w:left w:val="none" w:sz="0" w:space="0" w:color="auto"/>
        <w:bottom w:val="none" w:sz="0" w:space="0" w:color="auto"/>
        <w:right w:val="none" w:sz="0" w:space="0" w:color="auto"/>
      </w:divBdr>
      <w:divsChild>
        <w:div w:id="7020964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oleObject" Target="embeddings/oleObject3.bin"/><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oleObject" Target="embeddings/oleObject2.bin"/><Relationship Id="rId5" Type="http://schemas.openxmlformats.org/officeDocument/2006/relationships/webSettings" Target="webSettings.xml"/><Relationship Id="rId15" Type="http://schemas.openxmlformats.org/officeDocument/2006/relationships/oleObject" Target="embeddings/oleObject4.bin"/><Relationship Id="rId10" Type="http://schemas.openxmlformats.org/officeDocument/2006/relationships/image" Target="media/image2.wmf"/><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4.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2</Pages>
  <Words>1380</Words>
  <Characters>9044</Characters>
  <Application>Microsoft Office Word</Application>
  <DocSecurity>0</DocSecurity>
  <Lines>164</Lines>
  <Paragraphs>49</Paragraphs>
  <ScaleCrop>false</ScaleCrop>
  <HeadingPairs>
    <vt:vector size="2" baseType="variant">
      <vt:variant>
        <vt:lpstr>Title</vt:lpstr>
      </vt:variant>
      <vt:variant>
        <vt:i4>1</vt:i4>
      </vt:variant>
    </vt:vector>
  </HeadingPairs>
  <TitlesOfParts>
    <vt:vector size="1" baseType="lpstr">
      <vt:lpstr>Abstract Template</vt:lpstr>
    </vt:vector>
  </TitlesOfParts>
  <Company>FSB</Company>
  <LinksUpToDate>false</LinksUpToDate>
  <CharactersWithSpaces>10375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Template</dc:title>
  <dc:creator>TEMPMEKO 2004</dc:creator>
  <cp:lastModifiedBy>Alicia Boymelgreen</cp:lastModifiedBy>
  <cp:revision>4</cp:revision>
  <cp:lastPrinted>2003-09-25T16:29:00Z</cp:lastPrinted>
  <dcterms:created xsi:type="dcterms:W3CDTF">2014-05-12T19:51:00Z</dcterms:created>
  <dcterms:modified xsi:type="dcterms:W3CDTF">2014-05-12T20:12:00Z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ZOTERO_PREF_1">
    <vt:lpwstr>&lt;data data-version="3" zotero-version="4.0.16"&gt;&lt;session id="uOV7HDxn"/&gt;&lt;style id="http://www.zotero.org/styles/nature" hasBibliography="1" bibliographyStyleHasBeenSet="1"/&gt;&lt;prefs&gt;&lt;pref name="fieldType" value="Field"/&gt;&lt;pref name="storeReferences" value="tr</vt:lpwstr>
  </property>
  <property fmtid="{D5CDD505-2E9C-101B-9397-08002B2CF9AE}" pid="4" name="ZOTERO_PREF_2">
    <vt:lpwstr>ue"/&gt;&lt;pref name="automaticJournalAbbreviations" value="true"/&gt;&lt;pref name="noteType" value="0"/&gt;&lt;/prefs&gt;&lt;/data&gt;</vt:lpwstr>
  </property>
</Properties>
</file>