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7F2C" w:rsidRPr="00121766" w:rsidRDefault="00384525">
      <w:pPr>
        <w:rPr>
          <w:b/>
        </w:rPr>
      </w:pPr>
      <w:r>
        <w:rPr>
          <w:b/>
        </w:rPr>
        <w:t>Process Control</w:t>
      </w:r>
      <w:r w:rsidR="00F57263" w:rsidRPr="00121766">
        <w:rPr>
          <w:b/>
        </w:rPr>
        <w:t xml:space="preserve"> of Modified-Release Matrix Tablet Manufacturing </w:t>
      </w:r>
      <w:r w:rsidR="00705EE3">
        <w:rPr>
          <w:b/>
        </w:rPr>
        <w:t>Operations</w:t>
      </w:r>
      <w:r>
        <w:rPr>
          <w:b/>
        </w:rPr>
        <w:t xml:space="preserve"> and Key Excipient Enablers</w:t>
      </w:r>
    </w:p>
    <w:p w:rsidR="00F57263" w:rsidRDefault="00F57263">
      <w:r>
        <w:t>True L. Rogers (</w:t>
      </w:r>
      <w:hyperlink r:id="rId7" w:history="1">
        <w:r w:rsidRPr="00C77F0E">
          <w:rPr>
            <w:rStyle w:val="Hyperlink"/>
          </w:rPr>
          <w:t>TLRogers@Dow.com</w:t>
        </w:r>
      </w:hyperlink>
      <w:r>
        <w:t>), Kathryn O. Hewlett (</w:t>
      </w:r>
      <w:hyperlink r:id="rId8" w:history="1">
        <w:r w:rsidRPr="00C77F0E">
          <w:rPr>
            <w:rStyle w:val="Hyperlink"/>
          </w:rPr>
          <w:t>KOHewlett@Dow.com</w:t>
        </w:r>
      </w:hyperlink>
      <w:r>
        <w:t>), Karen M. Balwinski (</w:t>
      </w:r>
      <w:hyperlink r:id="rId9" w:history="1">
        <w:r w:rsidRPr="00C77F0E">
          <w:rPr>
            <w:rStyle w:val="Hyperlink"/>
          </w:rPr>
          <w:t>KMBalwinski@Dow.com</w:t>
        </w:r>
      </w:hyperlink>
      <w:r>
        <w:t>), Jörg Theuerkauf (</w:t>
      </w:r>
      <w:hyperlink r:id="rId10" w:history="1">
        <w:r w:rsidRPr="00C77F0E">
          <w:rPr>
            <w:rStyle w:val="Hyperlink"/>
          </w:rPr>
          <w:t>JTheuerkauf@Dow.com</w:t>
        </w:r>
      </w:hyperlink>
      <w:r>
        <w:t>)</w:t>
      </w:r>
      <w:r w:rsidR="00121766">
        <w:t>, Louis F. Ruocco (Ruocco@Dow.com)</w:t>
      </w:r>
    </w:p>
    <w:p w:rsidR="00F57263" w:rsidRDefault="00F57263">
      <w:r w:rsidRPr="00F57263">
        <w:rPr>
          <w:b/>
          <w:i/>
        </w:rPr>
        <w:t>Purpose:</w:t>
      </w:r>
      <w:r>
        <w:t xml:space="preserve"> Modified-release (MR) matrix tablets are typically produced using hydroxypropyl methylcellulose (HPMC) as the rate-modifying polymer. Several ingredients in the matrix tablet</w:t>
      </w:r>
      <w:r w:rsidR="00896D19">
        <w:t xml:space="preserve"> formulation</w:t>
      </w:r>
      <w:r>
        <w:t xml:space="preserve">, </w:t>
      </w:r>
      <w:r w:rsidR="00896D19">
        <w:t>particularly</w:t>
      </w:r>
      <w:r>
        <w:t xml:space="preserve"> the active pharmaceutical ingredient (API) and HPMC</w:t>
      </w:r>
      <w:r w:rsidR="00896D19">
        <w:t>,</w:t>
      </w:r>
      <w:r>
        <w:t xml:space="preserve"> </w:t>
      </w:r>
      <w:r w:rsidR="001A0FB2">
        <w:t>may</w:t>
      </w:r>
      <w:r>
        <w:t xml:space="preserve"> be irregularly shaped and prone to poor flow and segregation. </w:t>
      </w:r>
      <w:r w:rsidR="0028312D">
        <w:t>Although direct compression would</w:t>
      </w:r>
      <w:r w:rsidR="001A0FB2">
        <w:t xml:space="preserve"> be the most </w:t>
      </w:r>
      <w:r w:rsidR="00387EE1">
        <w:t xml:space="preserve">streamlined and </w:t>
      </w:r>
      <w:r w:rsidR="001A0FB2">
        <w:t xml:space="preserve">cost-efficient manufacturing </w:t>
      </w:r>
      <w:r w:rsidR="0028312D">
        <w:t xml:space="preserve">process, inclusion of granulation steps is often necessary to resolve </w:t>
      </w:r>
      <w:r w:rsidR="00DA2599">
        <w:t xml:space="preserve">flow and segregation issues. </w:t>
      </w:r>
      <w:r w:rsidR="00384525">
        <w:t xml:space="preserve">In this study, </w:t>
      </w:r>
      <w:r w:rsidR="001A0FB2">
        <w:t>HPMC matrix tablets were produced via</w:t>
      </w:r>
      <w:r w:rsidR="00F419EE">
        <w:t xml:space="preserve"> direct compression of a powder blend or </w:t>
      </w:r>
      <w:r w:rsidR="008064CE">
        <w:t xml:space="preserve">by </w:t>
      </w:r>
      <w:r w:rsidR="00A87073">
        <w:t xml:space="preserve">including </w:t>
      </w:r>
      <w:r w:rsidR="00F419EE">
        <w:t>intermediate</w:t>
      </w:r>
      <w:r w:rsidR="006F38A6">
        <w:t xml:space="preserve"> roller compaction or </w:t>
      </w:r>
      <w:r w:rsidR="001A0FB2">
        <w:t xml:space="preserve">high-shear wet granulation </w:t>
      </w:r>
      <w:r w:rsidR="00F419EE">
        <w:t>steps</w:t>
      </w:r>
      <w:r w:rsidR="00384525">
        <w:t xml:space="preserve"> prior to tabletting</w:t>
      </w:r>
      <w:r w:rsidR="001A0FB2">
        <w:t>.</w:t>
      </w:r>
      <w:r w:rsidR="00F210A5">
        <w:t xml:space="preserve"> Figure 1 compares the three manufacturing processes investigated.</w:t>
      </w:r>
      <w:r w:rsidR="001A0FB2">
        <w:t xml:space="preserve"> </w:t>
      </w:r>
      <w:r w:rsidR="00A87073">
        <w:t xml:space="preserve">The purpose of this talk is to compare process control, productivity, and </w:t>
      </w:r>
      <w:r w:rsidR="00387EE1">
        <w:t>achievability</w:t>
      </w:r>
      <w:r w:rsidR="00A87073">
        <w:t xml:space="preserve"> of desired end-pro</w:t>
      </w:r>
      <w:r w:rsidR="004C6783">
        <w:t>duct attributes by the</w:t>
      </w:r>
      <w:r w:rsidR="00384525">
        <w:t xml:space="preserve"> manufacturing process employed and also to understand how HPMC </w:t>
      </w:r>
      <w:r w:rsidR="007A7C8E">
        <w:t>morphology</w:t>
      </w:r>
      <w:r w:rsidR="00384525">
        <w:t xml:space="preserve"> impacts formulation processability.</w:t>
      </w:r>
    </w:p>
    <w:p w:rsidR="007F25F3" w:rsidRPr="00384525" w:rsidRDefault="007F25F3">
      <w:pPr>
        <w:rPr>
          <w:b/>
          <w:i/>
        </w:rPr>
      </w:pPr>
      <w:r w:rsidRPr="00384525">
        <w:rPr>
          <w:b/>
          <w:i/>
        </w:rPr>
        <w:t>Figure 1.</w:t>
      </w:r>
      <w:r w:rsidR="00AE4F3C" w:rsidRPr="00AE4F3C">
        <w:t xml:space="preserve"> </w:t>
      </w:r>
      <w:r w:rsidR="00AE4F3C" w:rsidRPr="00AE4F3C">
        <w:rPr>
          <w:b/>
          <w:i/>
        </w:rPr>
        <w:t>Process flow diagrams compari</w:t>
      </w:r>
      <w:r w:rsidR="00AE4F3C">
        <w:rPr>
          <w:b/>
          <w:i/>
        </w:rPr>
        <w:t>ng</w:t>
      </w:r>
      <w:r w:rsidR="00AE4F3C" w:rsidRPr="00AE4F3C">
        <w:rPr>
          <w:b/>
          <w:i/>
        </w:rPr>
        <w:t xml:space="preserve"> wet granulation, dry granulation, and direct compression.</w:t>
      </w:r>
    </w:p>
    <w:p w:rsidR="00E7190D" w:rsidRDefault="00CE69A3">
      <w:r>
        <w:rPr>
          <w:noProof/>
        </w:rPr>
        <w:drawing>
          <wp:inline distT="0" distB="0" distL="0" distR="0">
            <wp:extent cx="5817207" cy="1290180"/>
            <wp:effectExtent l="19050" t="0" r="0"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srcRect/>
                    <a:stretch>
                      <a:fillRect/>
                    </a:stretch>
                  </pic:blipFill>
                  <pic:spPr bwMode="auto">
                    <a:xfrm>
                      <a:off x="0" y="0"/>
                      <a:ext cx="5816397" cy="1290000"/>
                    </a:xfrm>
                    <a:prstGeom prst="rect">
                      <a:avLst/>
                    </a:prstGeom>
                    <a:noFill/>
                    <a:ln w="9525">
                      <a:noFill/>
                      <a:miter lim="800000"/>
                      <a:headEnd/>
                      <a:tailEnd/>
                    </a:ln>
                  </pic:spPr>
                </pic:pic>
              </a:graphicData>
            </a:graphic>
          </wp:inline>
        </w:drawing>
      </w:r>
    </w:p>
    <w:p w:rsidR="00F624B9" w:rsidRPr="00F624B9" w:rsidRDefault="00F624B9"/>
    <w:p w:rsidR="00F57263" w:rsidRDefault="00F57263">
      <w:r w:rsidRPr="00F57263">
        <w:rPr>
          <w:b/>
          <w:i/>
        </w:rPr>
        <w:t>Methods:</w:t>
      </w:r>
      <w:r w:rsidR="004C6783">
        <w:t xml:space="preserve"> The matrix tablet </w:t>
      </w:r>
      <w:r w:rsidR="00387EE1">
        <w:t xml:space="preserve">model </w:t>
      </w:r>
      <w:r w:rsidR="004C6783">
        <w:t xml:space="preserve">formulation contained 50% metformin HCl, 30% HPMC, 19% microcrystalline cellulose (MCC), 0.5% talc, and 0.5% magnesium stearate. </w:t>
      </w:r>
      <w:r w:rsidR="00B85BCD">
        <w:t xml:space="preserve">The </w:t>
      </w:r>
      <w:r w:rsidR="00F210A5">
        <w:t>targeted</w:t>
      </w:r>
      <w:r w:rsidR="00B85BCD">
        <w:t xml:space="preserve"> tablet weight was 1000 mg, </w:t>
      </w:r>
      <w:r w:rsidR="00387EE1">
        <w:t>so</w:t>
      </w:r>
      <w:r w:rsidR="00B85BCD">
        <w:t xml:space="preserve"> the target API </w:t>
      </w:r>
      <w:r w:rsidR="00E972A0">
        <w:t>dose</w:t>
      </w:r>
      <w:r w:rsidR="00B85BCD">
        <w:t xml:space="preserve"> per tablet was 500 mg. </w:t>
      </w:r>
      <w:r w:rsidR="00387EE1">
        <w:t>The standard CR grade of HPMC was used to make tablets via intermediate wet granulation processing steps</w:t>
      </w:r>
      <w:r w:rsidR="00E972A0">
        <w:t>, a typical practice of matrix tablet manufacture</w:t>
      </w:r>
      <w:r w:rsidR="00387EE1">
        <w:t>. A new direct</w:t>
      </w:r>
      <w:r w:rsidR="00154214">
        <w:t xml:space="preserve"> </w:t>
      </w:r>
      <w:r w:rsidR="00387EE1">
        <w:t>compression grade of HPMC</w:t>
      </w:r>
      <w:r w:rsidR="00E7190D">
        <w:t>, METHOCEL™ DC2,</w:t>
      </w:r>
      <w:r w:rsidR="00387EE1">
        <w:t xml:space="preserve"> was used to make tablets via direct compression or </w:t>
      </w:r>
      <w:r w:rsidR="006F38A6">
        <w:t>by using</w:t>
      </w:r>
      <w:r w:rsidR="00387EE1">
        <w:t xml:space="preserve"> intermediate roller</w:t>
      </w:r>
      <w:r w:rsidR="00154214">
        <w:t xml:space="preserve"> </w:t>
      </w:r>
      <w:r w:rsidR="00387EE1">
        <w:t>compaction processing steps</w:t>
      </w:r>
      <w:r w:rsidR="00E972A0">
        <w:t xml:space="preserve"> prior to tabletting</w:t>
      </w:r>
      <w:r w:rsidR="00387EE1">
        <w:t xml:space="preserve">. </w:t>
      </w:r>
      <w:r w:rsidR="004C6783">
        <w:t xml:space="preserve">For direct compression, the API, HPMC, MCC, and talc were blended </w:t>
      </w:r>
      <w:r w:rsidR="00F210A5">
        <w:t>together</w:t>
      </w:r>
      <w:r w:rsidR="00387EE1">
        <w:t xml:space="preserve"> for </w:t>
      </w:r>
      <w:r w:rsidR="004C6783">
        <w:t xml:space="preserve">10 minutes. Magnesium stearate was </w:t>
      </w:r>
      <w:r w:rsidR="00E7190D">
        <w:t xml:space="preserve">then </w:t>
      </w:r>
      <w:r w:rsidR="004C6783">
        <w:t>blended into the powder mi</w:t>
      </w:r>
      <w:r w:rsidR="00B85BCD">
        <w:t xml:space="preserve">xture for one additional minute, and the powder blend was </w:t>
      </w:r>
      <w:r w:rsidR="00F210A5">
        <w:t>subsequently</w:t>
      </w:r>
      <w:r w:rsidR="00B85BCD">
        <w:t xml:space="preserve"> compressed to </w:t>
      </w:r>
      <w:r w:rsidR="00B73B86">
        <w:t xml:space="preserve">caplet-shaped </w:t>
      </w:r>
      <w:r w:rsidR="00B85BCD">
        <w:t>matrix tablets</w:t>
      </w:r>
      <w:r w:rsidR="004259B0">
        <w:t xml:space="preserve"> (</w:t>
      </w:r>
      <w:r w:rsidR="004259B0" w:rsidRPr="004259B0">
        <w:t>9.09 x 18.92 mm</w:t>
      </w:r>
      <w:r w:rsidR="004259B0">
        <w:t>)</w:t>
      </w:r>
      <w:r w:rsidR="00B73B86">
        <w:t xml:space="preserve"> using a 26.7-kN compression force</w:t>
      </w:r>
      <w:r w:rsidR="00B85BCD">
        <w:t xml:space="preserve">. </w:t>
      </w:r>
      <w:r w:rsidR="00345DCE">
        <w:t>For wet granulation, the API, HPMC</w:t>
      </w:r>
      <w:r w:rsidR="00B73B86">
        <w:t>,</w:t>
      </w:r>
      <w:r w:rsidR="00345DCE">
        <w:t xml:space="preserve"> and MCC were </w:t>
      </w:r>
      <w:r w:rsidR="00387EE1">
        <w:t>blended</w:t>
      </w:r>
      <w:r w:rsidR="00E972A0">
        <w:t xml:space="preserve"> together,</w:t>
      </w:r>
      <w:r w:rsidR="00387EE1">
        <w:t xml:space="preserve"> </w:t>
      </w:r>
      <w:r w:rsidR="00E972A0">
        <w:t xml:space="preserve">high-shear </w:t>
      </w:r>
      <w:r w:rsidR="00345DCE">
        <w:t xml:space="preserve">granulated to desired </w:t>
      </w:r>
      <w:r w:rsidR="00F624B9">
        <w:t>granularity</w:t>
      </w:r>
      <w:r w:rsidR="00E972A0">
        <w:t>,</w:t>
      </w:r>
      <w:r w:rsidR="00387EE1">
        <w:t xml:space="preserve"> </w:t>
      </w:r>
      <w:r w:rsidR="00345DCE">
        <w:t>and passed through a 20-mesh screen. The granules were oven</w:t>
      </w:r>
      <w:r w:rsidR="00387EE1">
        <w:t>-</w:t>
      </w:r>
      <w:r w:rsidR="00345DCE">
        <w:t>dried at 45 °C overnight and passed again through a 20-mesh screen. The</w:t>
      </w:r>
      <w:r w:rsidR="00E972A0">
        <w:t xml:space="preserve"> sieved</w:t>
      </w:r>
      <w:r w:rsidR="00345DCE">
        <w:t xml:space="preserve"> granules were blended with talc for 1 minute</w:t>
      </w:r>
      <w:r w:rsidR="00E7190D">
        <w:t xml:space="preserve">, </w:t>
      </w:r>
      <w:r w:rsidR="009D0389">
        <w:t>and then blended with</w:t>
      </w:r>
      <w:r w:rsidR="00E7190D">
        <w:t xml:space="preserve"> </w:t>
      </w:r>
      <w:r w:rsidR="00345DCE">
        <w:t xml:space="preserve">magnesium stearate for one additional minute </w:t>
      </w:r>
      <w:r w:rsidR="00E7190D">
        <w:t xml:space="preserve">before being </w:t>
      </w:r>
      <w:r w:rsidR="00E972A0">
        <w:lastRenderedPageBreak/>
        <w:t>tabletted</w:t>
      </w:r>
      <w:r w:rsidR="00345DCE">
        <w:t>.</w:t>
      </w:r>
      <w:r w:rsidR="00B73B86">
        <w:t xml:space="preserve"> For </w:t>
      </w:r>
      <w:r w:rsidR="00387EE1">
        <w:t>dry granulation</w:t>
      </w:r>
      <w:r w:rsidR="00B73B86">
        <w:t>, the API, HPMC, MCC</w:t>
      </w:r>
      <w:r w:rsidR="00F3125A">
        <w:t>, and talc</w:t>
      </w:r>
      <w:r w:rsidR="00B73B86">
        <w:t xml:space="preserve"> were roller</w:t>
      </w:r>
      <w:r w:rsidR="00E7190D">
        <w:t xml:space="preserve"> </w:t>
      </w:r>
      <w:r w:rsidR="00B73B86">
        <w:t xml:space="preserve">compacted under </w:t>
      </w:r>
      <w:r w:rsidR="00AE0181">
        <w:t>18-kN of force. The</w:t>
      </w:r>
      <w:r w:rsidR="00E972A0">
        <w:t xml:space="preserve"> roller</w:t>
      </w:r>
      <w:r w:rsidR="00154214">
        <w:t xml:space="preserve"> </w:t>
      </w:r>
      <w:r w:rsidR="00E972A0">
        <w:t>compacted</w:t>
      </w:r>
      <w:r w:rsidR="00AE0181">
        <w:t xml:space="preserve"> ribbons were then milled to granules, which were </w:t>
      </w:r>
      <w:r w:rsidR="00387EE1">
        <w:t xml:space="preserve">subsequently </w:t>
      </w:r>
      <w:r w:rsidR="00AE0181">
        <w:t>blended with magnesium stearate and compressed to tablets. Tablets were collected every 3 minutes</w:t>
      </w:r>
      <w:r w:rsidR="00387EE1">
        <w:t xml:space="preserve"> during </w:t>
      </w:r>
      <w:r w:rsidR="00E972A0">
        <w:t xml:space="preserve">each </w:t>
      </w:r>
      <w:r w:rsidR="006F78B9">
        <w:t>tabletting trial</w:t>
      </w:r>
      <w:r w:rsidR="00AE0181">
        <w:t xml:space="preserve">, so run charts could be generated </w:t>
      </w:r>
      <w:r w:rsidR="00E972A0">
        <w:t>to gauge process control over time</w:t>
      </w:r>
      <w:r w:rsidR="00AE0181">
        <w:t>.</w:t>
      </w:r>
      <w:r w:rsidR="00884852">
        <w:t xml:space="preserve"> </w:t>
      </w:r>
    </w:p>
    <w:p w:rsidR="00276587" w:rsidRDefault="00F57263">
      <w:r w:rsidRPr="00F57263">
        <w:rPr>
          <w:b/>
          <w:i/>
        </w:rPr>
        <w:t>Results:</w:t>
      </w:r>
      <w:r w:rsidR="00FA5DF7">
        <w:t xml:space="preserve"> </w:t>
      </w:r>
      <w:bookmarkStart w:id="0" w:name="OLE_LINK2"/>
      <w:r w:rsidR="007F630B">
        <w:t xml:space="preserve">It is typical to include wet granulation processing steps when manufacturing matrix tablets containing irregularly shaped, poorly flowing ingredients, such as METHOCEL CR, the established standard of HPMC. </w:t>
      </w:r>
      <w:bookmarkEnd w:id="0"/>
      <w:r w:rsidR="007F630B">
        <w:t xml:space="preserve">METHOCEL DC2 and METHOCEL CR are chemically identical; but DC2 exhibits a spheroidal morphology to enable flow in dry processing techniques, such as direct compression and roller compaction. Figure 2 shows the morphological differences between DC2 and CR. </w:t>
      </w:r>
    </w:p>
    <w:p w:rsidR="00276587" w:rsidRPr="00276587" w:rsidRDefault="00276587">
      <w:pPr>
        <w:rPr>
          <w:b/>
          <w:i/>
        </w:rPr>
      </w:pPr>
      <w:r w:rsidRPr="00276587">
        <w:rPr>
          <w:b/>
          <w:i/>
        </w:rPr>
        <w:t>Figure 2</w:t>
      </w:r>
      <w:r w:rsidR="00AE4F3C">
        <w:rPr>
          <w:b/>
          <w:i/>
        </w:rPr>
        <w:t xml:space="preserve">. </w:t>
      </w:r>
      <w:r w:rsidR="007A7C8E">
        <w:rPr>
          <w:b/>
          <w:i/>
        </w:rPr>
        <w:t>Morphological</w:t>
      </w:r>
      <w:r w:rsidR="00AE4F3C">
        <w:rPr>
          <w:b/>
          <w:i/>
        </w:rPr>
        <w:t xml:space="preserve"> differences between METHOCEL DC2 and METHOCEL CR.</w:t>
      </w:r>
    </w:p>
    <w:p w:rsidR="00276587" w:rsidRDefault="00B421BC" w:rsidP="00276587">
      <w:pPr>
        <w:jc w:val="center"/>
      </w:pPr>
      <w:r>
        <w:rPr>
          <w:noProof/>
        </w:rPr>
        <w:pict>
          <v:shapetype id="_x0000_t202" coordsize="21600,21600" o:spt="202" path="m,l,21600r21600,l21600,xe">
            <v:stroke joinstyle="miter"/>
            <v:path gradientshapeok="t" o:connecttype="rect"/>
          </v:shapetype>
          <v:shape id="_x0000_s1027" type="#_x0000_t202" style="position:absolute;left:0;text-align:left;margin-left:253.65pt;margin-top:86.05pt;width:104.55pt;height:21.6pt;z-index:251659264" filled="f" stroked="f">
            <v:textbox>
              <w:txbxContent>
                <w:p w:rsidR="00276587" w:rsidRDefault="00276587" w:rsidP="00276587">
                  <w:pPr>
                    <w:jc w:val="center"/>
                  </w:pPr>
                  <w:r>
                    <w:t>METHOCEL CR</w:t>
                  </w:r>
                </w:p>
              </w:txbxContent>
            </v:textbox>
          </v:shape>
        </w:pict>
      </w:r>
      <w:r>
        <w:rPr>
          <w:noProof/>
        </w:rPr>
        <w:pict>
          <v:shape id="_x0000_s1026" type="#_x0000_t202" style="position:absolute;left:0;text-align:left;margin-left:109.6pt;margin-top:86.05pt;width:105.35pt;height:21.6pt;z-index:251658240" filled="f" stroked="f">
            <v:textbox>
              <w:txbxContent>
                <w:p w:rsidR="00276587" w:rsidRDefault="00276587" w:rsidP="00276587">
                  <w:pPr>
                    <w:jc w:val="center"/>
                  </w:pPr>
                  <w:r>
                    <w:t>METHOCEL DC2</w:t>
                  </w:r>
                </w:p>
              </w:txbxContent>
            </v:textbox>
          </v:shape>
        </w:pict>
      </w:r>
      <w:r>
        <w:rPr>
          <w:noProof/>
        </w:rPr>
        <w:drawing>
          <wp:inline distT="0" distB="0" distL="0" distR="0">
            <wp:extent cx="1424757" cy="1097280"/>
            <wp:effectExtent l="19050" t="0" r="3993" b="0"/>
            <wp:docPr id="7" name="Picture 6" descr="DC2.SEM_TLR_2014.05.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C2.SEM_TLR_2014.05.12.png"/>
                    <pic:cNvPicPr/>
                  </pic:nvPicPr>
                  <pic:blipFill>
                    <a:blip r:embed="rId12" cstate="print"/>
                    <a:stretch>
                      <a:fillRect/>
                    </a:stretch>
                  </pic:blipFill>
                  <pic:spPr>
                    <a:xfrm>
                      <a:off x="0" y="0"/>
                      <a:ext cx="1424757" cy="1097280"/>
                    </a:xfrm>
                    <a:prstGeom prst="rect">
                      <a:avLst/>
                    </a:prstGeom>
                  </pic:spPr>
                </pic:pic>
              </a:graphicData>
            </a:graphic>
          </wp:inline>
        </w:drawing>
      </w:r>
      <w:r w:rsidR="00276587">
        <w:tab/>
      </w:r>
      <w:r>
        <w:rPr>
          <w:noProof/>
        </w:rPr>
        <w:drawing>
          <wp:inline distT="0" distB="0" distL="0" distR="0">
            <wp:extent cx="1423569" cy="1097280"/>
            <wp:effectExtent l="19050" t="0" r="5181" b="0"/>
            <wp:docPr id="8" name="Picture 7" descr="CR.SEM_TLR_2014.05.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SEM_TLR_2014.05.12.png"/>
                    <pic:cNvPicPr/>
                  </pic:nvPicPr>
                  <pic:blipFill>
                    <a:blip r:embed="rId13" cstate="print"/>
                    <a:stretch>
                      <a:fillRect/>
                    </a:stretch>
                  </pic:blipFill>
                  <pic:spPr>
                    <a:xfrm>
                      <a:off x="0" y="0"/>
                      <a:ext cx="1423569" cy="1097280"/>
                    </a:xfrm>
                    <a:prstGeom prst="rect">
                      <a:avLst/>
                    </a:prstGeom>
                  </pic:spPr>
                </pic:pic>
              </a:graphicData>
            </a:graphic>
          </wp:inline>
        </w:drawing>
      </w:r>
    </w:p>
    <w:p w:rsidR="0007502A" w:rsidRDefault="0007502A"/>
    <w:p w:rsidR="00F57263" w:rsidRDefault="000E3604">
      <w:r>
        <w:t xml:space="preserve">Tablet weight, breaking force, API unit-dose uniformity, and dissolution performance were compared across each tablet manufacturing process employed. </w:t>
      </w:r>
      <w:r w:rsidR="00334353">
        <w:t>DC2 matrix t</w:t>
      </w:r>
      <w:r w:rsidR="0078760C">
        <w:t xml:space="preserve">ablets produced via direct compression </w:t>
      </w:r>
      <w:r w:rsidR="0078760C" w:rsidRPr="002C04AA">
        <w:t>weighed 971</w:t>
      </w:r>
      <w:r w:rsidR="00DF52C4" w:rsidRPr="002C04AA">
        <w:t xml:space="preserve"> ± </w:t>
      </w:r>
      <w:r w:rsidR="005A5624">
        <w:t>23</w:t>
      </w:r>
      <w:r w:rsidR="00F15935">
        <w:t xml:space="preserve"> </w:t>
      </w:r>
      <w:r w:rsidR="0078760C">
        <w:t>mg</w:t>
      </w:r>
      <w:r w:rsidR="002C04AA">
        <w:t xml:space="preserve">, reflecting </w:t>
      </w:r>
      <w:r w:rsidR="00DF52C4">
        <w:t>satisfactory process control (</w:t>
      </w:r>
      <w:r w:rsidR="00276587">
        <w:t>see Figure 3</w:t>
      </w:r>
      <w:r w:rsidR="00DF52C4">
        <w:t>a)</w:t>
      </w:r>
      <w:r w:rsidR="00334353">
        <w:t xml:space="preserve">. </w:t>
      </w:r>
      <w:bookmarkStart w:id="1" w:name="OLE_LINK1"/>
      <w:r w:rsidR="00B82607">
        <w:t xml:space="preserve">DC2 matrix tablets produced </w:t>
      </w:r>
      <w:r w:rsidR="00DF52C4">
        <w:t xml:space="preserve">using </w:t>
      </w:r>
      <w:r w:rsidR="00B82607">
        <w:t xml:space="preserve">roller-compaction intermediate steps weighed </w:t>
      </w:r>
      <w:r w:rsidR="00B82607" w:rsidRPr="002C04AA">
        <w:t xml:space="preserve">995 </w:t>
      </w:r>
      <w:r w:rsidR="00DF52C4" w:rsidRPr="002C04AA">
        <w:t xml:space="preserve">± </w:t>
      </w:r>
      <w:r w:rsidR="005A5624">
        <w:t>10</w:t>
      </w:r>
      <w:r w:rsidR="00F15935" w:rsidRPr="002C04AA">
        <w:t xml:space="preserve"> </w:t>
      </w:r>
      <w:r w:rsidR="00B82607" w:rsidRPr="002C04AA">
        <w:t>mg</w:t>
      </w:r>
      <w:r w:rsidR="00715603">
        <w:t xml:space="preserve">, reflecting </w:t>
      </w:r>
      <w:r w:rsidR="00DF52C4">
        <w:t>exceptional process control</w:t>
      </w:r>
      <w:r w:rsidR="00B82607">
        <w:t xml:space="preserve"> (See Figure </w:t>
      </w:r>
      <w:r w:rsidR="00276587">
        <w:t>3</w:t>
      </w:r>
      <w:r w:rsidR="00B82607">
        <w:t xml:space="preserve">b). </w:t>
      </w:r>
      <w:bookmarkEnd w:id="1"/>
      <w:r w:rsidR="00334353">
        <w:t xml:space="preserve">CR matrix tablets produced </w:t>
      </w:r>
      <w:r w:rsidR="00DF52C4">
        <w:t xml:space="preserve">using </w:t>
      </w:r>
      <w:r w:rsidR="00334353">
        <w:t xml:space="preserve">wet granulation </w:t>
      </w:r>
      <w:r w:rsidR="00BE7364">
        <w:t xml:space="preserve">intermediate steps </w:t>
      </w:r>
      <w:r w:rsidR="00DF52C4" w:rsidRPr="002C04AA">
        <w:t>weighed 838</w:t>
      </w:r>
      <w:r w:rsidR="00334353" w:rsidRPr="002C04AA">
        <w:t xml:space="preserve"> </w:t>
      </w:r>
      <w:r w:rsidR="00DF52C4" w:rsidRPr="002C04AA">
        <w:t xml:space="preserve">± </w:t>
      </w:r>
      <w:r w:rsidR="005A5624">
        <w:t>14</w:t>
      </w:r>
      <w:r w:rsidR="00DF52C4">
        <w:t xml:space="preserve"> mg</w:t>
      </w:r>
      <w:r w:rsidR="00334353">
        <w:t>, well below the 1000-mg target</w:t>
      </w:r>
      <w:r w:rsidR="00F210A5">
        <w:t xml:space="preserve"> (see Figure </w:t>
      </w:r>
      <w:r w:rsidR="00276587">
        <w:t>3</w:t>
      </w:r>
      <w:r w:rsidR="00B82607">
        <w:t>c</w:t>
      </w:r>
      <w:r w:rsidR="00BE7364">
        <w:t>)</w:t>
      </w:r>
      <w:r w:rsidR="00334353">
        <w:t xml:space="preserve">. </w:t>
      </w:r>
      <w:r w:rsidR="00FF545E">
        <w:t>A control</w:t>
      </w:r>
      <w:r w:rsidR="00D872D5">
        <w:t xml:space="preserve"> tabletting</w:t>
      </w:r>
      <w:r w:rsidR="00FF545E">
        <w:t xml:space="preserve"> trial was conducted using direct compression to make CR matrix tablets (see Figure 3d). </w:t>
      </w:r>
      <w:r w:rsidR="00E725C8">
        <w:t>Like the CR tablets made from wet granulation, t</w:t>
      </w:r>
      <w:r w:rsidR="00FF545E">
        <w:t xml:space="preserve">he CR control tablets from direct compression were </w:t>
      </w:r>
      <w:r w:rsidR="00E725C8">
        <w:t xml:space="preserve">below </w:t>
      </w:r>
      <w:r w:rsidR="00FF545E">
        <w:t>the 1000-</w:t>
      </w:r>
      <w:r w:rsidR="005A5624">
        <w:t>m</w:t>
      </w:r>
      <w:r w:rsidR="00FF545E">
        <w:t xml:space="preserve">g target weight, </w:t>
      </w:r>
      <w:r w:rsidR="00FB013F">
        <w:t xml:space="preserve">and </w:t>
      </w:r>
      <w:r w:rsidR="00FF545E">
        <w:t xml:space="preserve">the </w:t>
      </w:r>
      <w:r w:rsidR="00FB013F">
        <w:t xml:space="preserve">CR </w:t>
      </w:r>
      <w:r w:rsidR="00FF545E">
        <w:t xml:space="preserve">control tablets reflected significantly inferior process control compared to DC2 tablets produced either by direct compression or using roller compaction. </w:t>
      </w:r>
    </w:p>
    <w:p w:rsidR="00FB013F" w:rsidRDefault="00FB013F">
      <w:pPr>
        <w:rPr>
          <w:b/>
          <w:i/>
        </w:rPr>
      </w:pPr>
      <w:r>
        <w:rPr>
          <w:b/>
          <w:i/>
        </w:rPr>
        <w:br w:type="page"/>
      </w:r>
    </w:p>
    <w:p w:rsidR="00B82607" w:rsidRPr="00384525" w:rsidRDefault="00276587">
      <w:pPr>
        <w:rPr>
          <w:b/>
          <w:i/>
        </w:rPr>
      </w:pPr>
      <w:r>
        <w:rPr>
          <w:b/>
          <w:i/>
        </w:rPr>
        <w:lastRenderedPageBreak/>
        <w:t>Figure 3</w:t>
      </w:r>
      <w:r w:rsidR="00ED2D1C">
        <w:rPr>
          <w:b/>
          <w:i/>
        </w:rPr>
        <w:t xml:space="preserve">. Process run charts for individual </w:t>
      </w:r>
      <w:r w:rsidR="00D872D5">
        <w:rPr>
          <w:b/>
          <w:i/>
        </w:rPr>
        <w:t xml:space="preserve">tablet </w:t>
      </w:r>
      <w:r w:rsidR="00ED2D1C">
        <w:rPr>
          <w:b/>
          <w:i/>
        </w:rPr>
        <w:t xml:space="preserve">weight measurements collected throughout the tabletting trials for a) DC2 matrix tablets made by direct compression, b) DC2 tablets made using roller compaction, c) CR tablets made using wet granulation, and </w:t>
      </w:r>
      <w:r w:rsidR="00473AF6">
        <w:rPr>
          <w:b/>
          <w:i/>
        </w:rPr>
        <w:t xml:space="preserve">d) </w:t>
      </w:r>
      <w:r w:rsidR="00ED2D1C">
        <w:rPr>
          <w:b/>
          <w:i/>
        </w:rPr>
        <w:t>CR control tablets made by direct compression.</w:t>
      </w:r>
    </w:p>
    <w:p w:rsidR="00FB013F" w:rsidRDefault="00FB013F">
      <w:r>
        <w:t xml:space="preserve">  </w:t>
      </w:r>
      <w:r w:rsidR="003975F9">
        <w:t xml:space="preserve">       </w:t>
      </w:r>
      <w:r>
        <w:t>a)</w:t>
      </w:r>
      <w:r>
        <w:tab/>
        <w:t xml:space="preserve">                                                   b)                                                             c)</w:t>
      </w:r>
      <w:r w:rsidR="003975F9" w:rsidRPr="003975F9">
        <w:t xml:space="preserve"> </w:t>
      </w:r>
      <w:r w:rsidR="003975F9" w:rsidRPr="003975F9">
        <w:rPr>
          <w:noProof/>
        </w:rPr>
        <w:drawing>
          <wp:inline distT="0" distB="0" distL="0" distR="0">
            <wp:extent cx="1859509" cy="1280160"/>
            <wp:effectExtent l="19050" t="0" r="7391"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1859509" cy="1280160"/>
                    </a:xfrm>
                    <a:prstGeom prst="rect">
                      <a:avLst/>
                    </a:prstGeom>
                    <a:noFill/>
                    <a:ln w="9525">
                      <a:noFill/>
                      <a:miter lim="800000"/>
                      <a:headEnd/>
                      <a:tailEnd/>
                    </a:ln>
                  </pic:spPr>
                </pic:pic>
              </a:graphicData>
            </a:graphic>
          </wp:inline>
        </w:drawing>
      </w:r>
      <w:r w:rsidR="003975F9" w:rsidRPr="003975F9">
        <w:rPr>
          <w:noProof/>
        </w:rPr>
        <w:drawing>
          <wp:inline distT="0" distB="0" distL="0" distR="0">
            <wp:extent cx="1898811" cy="1280160"/>
            <wp:effectExtent l="19050" t="0" r="6189"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srcRect/>
                    <a:stretch>
                      <a:fillRect/>
                    </a:stretch>
                  </pic:blipFill>
                  <pic:spPr bwMode="auto">
                    <a:xfrm>
                      <a:off x="0" y="0"/>
                      <a:ext cx="1898811" cy="1280160"/>
                    </a:xfrm>
                    <a:prstGeom prst="rect">
                      <a:avLst/>
                    </a:prstGeom>
                    <a:noFill/>
                    <a:ln w="9525">
                      <a:noFill/>
                      <a:miter lim="800000"/>
                      <a:headEnd/>
                      <a:tailEnd/>
                    </a:ln>
                  </pic:spPr>
                </pic:pic>
              </a:graphicData>
            </a:graphic>
          </wp:inline>
        </w:drawing>
      </w:r>
      <w:r w:rsidR="003975F9" w:rsidRPr="003975F9">
        <w:rPr>
          <w:noProof/>
        </w:rPr>
        <w:drawing>
          <wp:inline distT="0" distB="0" distL="0" distR="0">
            <wp:extent cx="1859509" cy="1280160"/>
            <wp:effectExtent l="19050" t="0" r="7391"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srcRect/>
                    <a:stretch>
                      <a:fillRect/>
                    </a:stretch>
                  </pic:blipFill>
                  <pic:spPr bwMode="auto">
                    <a:xfrm>
                      <a:off x="0" y="0"/>
                      <a:ext cx="1859509" cy="1280160"/>
                    </a:xfrm>
                    <a:prstGeom prst="rect">
                      <a:avLst/>
                    </a:prstGeom>
                    <a:noFill/>
                    <a:ln w="9525">
                      <a:noFill/>
                      <a:miter lim="800000"/>
                      <a:headEnd/>
                      <a:tailEnd/>
                    </a:ln>
                  </pic:spPr>
                </pic:pic>
              </a:graphicData>
            </a:graphic>
          </wp:inline>
        </w:drawing>
      </w:r>
    </w:p>
    <w:p w:rsidR="00B82607" w:rsidRDefault="00FB013F">
      <w:r>
        <w:t xml:space="preserve">  </w:t>
      </w:r>
      <w:r w:rsidR="003975F9">
        <w:t xml:space="preserve">        </w:t>
      </w:r>
      <w:r>
        <w:t xml:space="preserve">d)                                                                                                                                                                 </w:t>
      </w:r>
      <w:r w:rsidR="003975F9" w:rsidRPr="003975F9">
        <w:rPr>
          <w:noProof/>
        </w:rPr>
        <w:drawing>
          <wp:inline distT="0" distB="0" distL="0" distR="0">
            <wp:extent cx="1858858" cy="1280160"/>
            <wp:effectExtent l="19050" t="0" r="8042" b="0"/>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srcRect/>
                    <a:stretch>
                      <a:fillRect/>
                    </a:stretch>
                  </pic:blipFill>
                  <pic:spPr bwMode="auto">
                    <a:xfrm>
                      <a:off x="0" y="0"/>
                      <a:ext cx="1858858" cy="1280160"/>
                    </a:xfrm>
                    <a:prstGeom prst="rect">
                      <a:avLst/>
                    </a:prstGeom>
                    <a:noFill/>
                    <a:ln w="9525">
                      <a:noFill/>
                      <a:miter lim="800000"/>
                      <a:headEnd/>
                      <a:tailEnd/>
                    </a:ln>
                  </pic:spPr>
                </pic:pic>
              </a:graphicData>
            </a:graphic>
          </wp:inline>
        </w:drawing>
      </w:r>
    </w:p>
    <w:p w:rsidR="00276587" w:rsidRDefault="00276587">
      <w:r>
        <w:t>DC2 matrix tablets produced via direct compression or using roller</w:t>
      </w:r>
      <w:r w:rsidR="00E7190D">
        <w:t xml:space="preserve"> </w:t>
      </w:r>
      <w:r>
        <w:t xml:space="preserve">compaction exhibited breaking forces of </w:t>
      </w:r>
      <w:r w:rsidRPr="00FB013F">
        <w:t xml:space="preserve">112 ± </w:t>
      </w:r>
      <w:r w:rsidR="005A5624">
        <w:t>22</w:t>
      </w:r>
      <w:r w:rsidRPr="00FB013F">
        <w:t xml:space="preserve"> and 108 ± </w:t>
      </w:r>
      <w:r w:rsidR="005A5624">
        <w:t>12</w:t>
      </w:r>
      <w:r w:rsidRPr="00FB013F">
        <w:t xml:space="preserve"> N, respectively. CR tablets produced using wet granulation exhibited a breaking force of 69 ± </w:t>
      </w:r>
      <w:r w:rsidR="005A5624">
        <w:t>4</w:t>
      </w:r>
      <w:r w:rsidRPr="00FB013F">
        <w:t xml:space="preserve"> N. Tablets produced via direct compression or using roller compaction exhibited satisfactory unit-dose</w:t>
      </w:r>
      <w:r>
        <w:t xml:space="preserve"> uniformity within 90-110% of the labeled claim of 500</w:t>
      </w:r>
      <w:r w:rsidR="00780592">
        <w:t xml:space="preserve"> m</w:t>
      </w:r>
      <w:r>
        <w:t>g API per tablet. Expected MR performance was achieved in all cases.</w:t>
      </w:r>
    </w:p>
    <w:p w:rsidR="00F57263" w:rsidRDefault="00F57263">
      <w:r w:rsidRPr="00F57263">
        <w:rPr>
          <w:b/>
          <w:i/>
        </w:rPr>
        <w:t>Conclusions:</w:t>
      </w:r>
      <w:r w:rsidR="00121766">
        <w:t xml:space="preserve"> Direct compression is well known as the most streamlined of the tablet</w:t>
      </w:r>
      <w:r w:rsidR="007A7C8E">
        <w:t>ting</w:t>
      </w:r>
      <w:r w:rsidR="00121766">
        <w:t xml:space="preserve"> processes</w:t>
      </w:r>
      <w:r w:rsidR="0040254E">
        <w:t xml:space="preserve"> but often is not a feasible option due to flow or segregation issues</w:t>
      </w:r>
      <w:r w:rsidR="00AB01A3">
        <w:t xml:space="preserve">. </w:t>
      </w:r>
      <w:r w:rsidR="00513EA0">
        <w:t xml:space="preserve">A key learning from </w:t>
      </w:r>
      <w:r w:rsidR="0040254E">
        <w:t xml:space="preserve">this </w:t>
      </w:r>
      <w:r w:rsidR="00513EA0">
        <w:t>study is that m</w:t>
      </w:r>
      <w:r w:rsidR="00AB01A3">
        <w:t xml:space="preserve">atrix tablets produced </w:t>
      </w:r>
      <w:r w:rsidR="00ED2D1C">
        <w:t>by</w:t>
      </w:r>
      <w:r w:rsidR="00AB01A3">
        <w:t xml:space="preserve"> direct compression require</w:t>
      </w:r>
      <w:r w:rsidR="00ED2D1C">
        <w:t>d</w:t>
      </w:r>
      <w:r w:rsidR="00AB01A3">
        <w:t xml:space="preserve"> the use of METHOCEL DC2 in order to achieve</w:t>
      </w:r>
      <w:r w:rsidR="007A135D">
        <w:t xml:space="preserve"> </w:t>
      </w:r>
      <w:r w:rsidR="00954CD7">
        <w:t xml:space="preserve">the </w:t>
      </w:r>
      <w:r w:rsidR="00D872D5">
        <w:t>desired end-product attributes</w:t>
      </w:r>
      <w:r w:rsidR="00954CD7">
        <w:t xml:space="preserve"> and </w:t>
      </w:r>
      <w:r w:rsidR="00AB01A3">
        <w:t xml:space="preserve">sufficient process control. </w:t>
      </w:r>
      <w:r w:rsidR="00513EA0">
        <w:t xml:space="preserve">DC2 tablets produced </w:t>
      </w:r>
      <w:r w:rsidR="0040254E">
        <w:t>using</w:t>
      </w:r>
      <w:r w:rsidR="00513EA0">
        <w:t xml:space="preserve"> roller compaction exhibited more reproducible attributes </w:t>
      </w:r>
      <w:r w:rsidR="00E7190D">
        <w:t xml:space="preserve">than </w:t>
      </w:r>
      <w:r w:rsidR="00513EA0">
        <w:t xml:space="preserve">DC2 tablets produced via direct compression, but did require </w:t>
      </w:r>
      <w:r w:rsidR="0040254E">
        <w:t xml:space="preserve">three </w:t>
      </w:r>
      <w:r w:rsidR="00513EA0">
        <w:t xml:space="preserve">additional </w:t>
      </w:r>
      <w:r w:rsidR="005B3430">
        <w:t xml:space="preserve">processing </w:t>
      </w:r>
      <w:r w:rsidR="00513EA0">
        <w:t>steps.</w:t>
      </w:r>
      <w:r w:rsidR="00D872D5">
        <w:t xml:space="preserve"> DC2 matrix tablets produced via both manufacturing processes</w:t>
      </w:r>
      <w:r w:rsidR="00513EA0">
        <w:t xml:space="preserve"> </w:t>
      </w:r>
      <w:r w:rsidR="00D872D5">
        <w:t>met the desirable end-product attributes. S</w:t>
      </w:r>
      <w:r w:rsidR="00513EA0">
        <w:t xml:space="preserve">treamlined manufacturing coupled with sufficient process control </w:t>
      </w:r>
      <w:r w:rsidR="00276587">
        <w:t>render</w:t>
      </w:r>
      <w:r w:rsidR="00ED2D1C">
        <w:t>ed</w:t>
      </w:r>
      <w:r w:rsidR="00513EA0">
        <w:t xml:space="preserve"> direct compression a viabl</w:t>
      </w:r>
      <w:r w:rsidR="00E25858">
        <w:t>e</w:t>
      </w:r>
      <w:r w:rsidR="00513EA0">
        <w:t xml:space="preserve"> matrix tablet manufacturing option </w:t>
      </w:r>
      <w:r w:rsidR="007A7C8E">
        <w:t xml:space="preserve">as long as the more flowable </w:t>
      </w:r>
      <w:r w:rsidR="00513EA0">
        <w:t>METHOCEL DC2</w:t>
      </w:r>
      <w:r w:rsidR="007A7C8E">
        <w:t xml:space="preserve"> excipient was utilized</w:t>
      </w:r>
      <w:r w:rsidR="00513EA0">
        <w:t xml:space="preserve">. </w:t>
      </w:r>
    </w:p>
    <w:sectPr w:rsidR="00F57263" w:rsidSect="00CC663A">
      <w:footerReference w:type="default" r:id="rId1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4B09" w:rsidRDefault="00694B09" w:rsidP="00FC4011">
      <w:pPr>
        <w:spacing w:after="0" w:line="240" w:lineRule="auto"/>
      </w:pPr>
      <w:r>
        <w:separator/>
      </w:r>
    </w:p>
  </w:endnote>
  <w:endnote w:type="continuationSeparator" w:id="0">
    <w:p w:rsidR="00694B09" w:rsidRDefault="00694B09" w:rsidP="00FC401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35426"/>
      <w:docPartObj>
        <w:docPartGallery w:val="Page Numbers (Bottom of Page)"/>
        <w:docPartUnique/>
      </w:docPartObj>
    </w:sdtPr>
    <w:sdtContent>
      <w:p w:rsidR="008477A4" w:rsidRDefault="00ED4FF5">
        <w:pPr>
          <w:pStyle w:val="Footer"/>
          <w:jc w:val="right"/>
        </w:pPr>
        <w:fldSimple w:instr=" PAGE   \* MERGEFORMAT ">
          <w:r w:rsidR="00B421BC">
            <w:rPr>
              <w:noProof/>
            </w:rPr>
            <w:t>2</w:t>
          </w:r>
        </w:fldSimple>
      </w:p>
    </w:sdtContent>
  </w:sdt>
  <w:p w:rsidR="008477A4" w:rsidRDefault="008477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4B09" w:rsidRDefault="00694B09" w:rsidP="00FC4011">
      <w:pPr>
        <w:spacing w:after="0" w:line="240" w:lineRule="auto"/>
      </w:pPr>
      <w:r>
        <w:separator/>
      </w:r>
    </w:p>
  </w:footnote>
  <w:footnote w:type="continuationSeparator" w:id="0">
    <w:p w:rsidR="00694B09" w:rsidRDefault="00694B09" w:rsidP="00FC401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811553"/>
    <w:multiLevelType w:val="hybridMultilevel"/>
    <w:tmpl w:val="A4ACE072"/>
    <w:lvl w:ilvl="0" w:tplc="6F849370">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footnotePr>
    <w:footnote w:id="-1"/>
    <w:footnote w:id="0"/>
  </w:footnotePr>
  <w:endnotePr>
    <w:endnote w:id="-1"/>
    <w:endnote w:id="0"/>
  </w:endnotePr>
  <w:compat/>
  <w:rsids>
    <w:rsidRoot w:val="00FC4011"/>
    <w:rsid w:val="000021E5"/>
    <w:rsid w:val="00002726"/>
    <w:rsid w:val="00004FE4"/>
    <w:rsid w:val="00006389"/>
    <w:rsid w:val="000074A2"/>
    <w:rsid w:val="000108CA"/>
    <w:rsid w:val="000119CC"/>
    <w:rsid w:val="00012252"/>
    <w:rsid w:val="0001728E"/>
    <w:rsid w:val="000216F5"/>
    <w:rsid w:val="00022B14"/>
    <w:rsid w:val="00022FE6"/>
    <w:rsid w:val="00023380"/>
    <w:rsid w:val="00024D34"/>
    <w:rsid w:val="0002547A"/>
    <w:rsid w:val="00026C29"/>
    <w:rsid w:val="00031359"/>
    <w:rsid w:val="00031967"/>
    <w:rsid w:val="000355F3"/>
    <w:rsid w:val="00036D9F"/>
    <w:rsid w:val="00037706"/>
    <w:rsid w:val="00040AC4"/>
    <w:rsid w:val="00041BA4"/>
    <w:rsid w:val="00042827"/>
    <w:rsid w:val="00043197"/>
    <w:rsid w:val="0004446F"/>
    <w:rsid w:val="000508C0"/>
    <w:rsid w:val="00052935"/>
    <w:rsid w:val="00052B96"/>
    <w:rsid w:val="0005332B"/>
    <w:rsid w:val="000534A9"/>
    <w:rsid w:val="00056238"/>
    <w:rsid w:val="0005635A"/>
    <w:rsid w:val="0005784D"/>
    <w:rsid w:val="00057A12"/>
    <w:rsid w:val="00064C95"/>
    <w:rsid w:val="000713C9"/>
    <w:rsid w:val="00074186"/>
    <w:rsid w:val="0007502A"/>
    <w:rsid w:val="000753B3"/>
    <w:rsid w:val="00075AFB"/>
    <w:rsid w:val="00077DA1"/>
    <w:rsid w:val="0008451D"/>
    <w:rsid w:val="00084591"/>
    <w:rsid w:val="0008564E"/>
    <w:rsid w:val="00086786"/>
    <w:rsid w:val="0009088F"/>
    <w:rsid w:val="00090CB5"/>
    <w:rsid w:val="0009469E"/>
    <w:rsid w:val="00095C0E"/>
    <w:rsid w:val="00095F7F"/>
    <w:rsid w:val="00097437"/>
    <w:rsid w:val="00097611"/>
    <w:rsid w:val="00097EC8"/>
    <w:rsid w:val="000A38D8"/>
    <w:rsid w:val="000A3B7A"/>
    <w:rsid w:val="000A57EA"/>
    <w:rsid w:val="000A738B"/>
    <w:rsid w:val="000B15A4"/>
    <w:rsid w:val="000B382E"/>
    <w:rsid w:val="000B622F"/>
    <w:rsid w:val="000B7934"/>
    <w:rsid w:val="000B7D33"/>
    <w:rsid w:val="000C28B6"/>
    <w:rsid w:val="000C3439"/>
    <w:rsid w:val="000C70BF"/>
    <w:rsid w:val="000C7781"/>
    <w:rsid w:val="000D011B"/>
    <w:rsid w:val="000D1073"/>
    <w:rsid w:val="000D6BB1"/>
    <w:rsid w:val="000D767E"/>
    <w:rsid w:val="000E0108"/>
    <w:rsid w:val="000E2ADA"/>
    <w:rsid w:val="000E2E17"/>
    <w:rsid w:val="000E3604"/>
    <w:rsid w:val="000E4A8E"/>
    <w:rsid w:val="000F4D17"/>
    <w:rsid w:val="000F53A8"/>
    <w:rsid w:val="000F6A11"/>
    <w:rsid w:val="000F7295"/>
    <w:rsid w:val="001004F1"/>
    <w:rsid w:val="001009F6"/>
    <w:rsid w:val="00100CFD"/>
    <w:rsid w:val="0010333C"/>
    <w:rsid w:val="00103975"/>
    <w:rsid w:val="00105E04"/>
    <w:rsid w:val="0010614E"/>
    <w:rsid w:val="00110C9E"/>
    <w:rsid w:val="00111A31"/>
    <w:rsid w:val="001146C3"/>
    <w:rsid w:val="0011481E"/>
    <w:rsid w:val="001154DE"/>
    <w:rsid w:val="0011552C"/>
    <w:rsid w:val="001163E2"/>
    <w:rsid w:val="00116CC0"/>
    <w:rsid w:val="00117859"/>
    <w:rsid w:val="00120745"/>
    <w:rsid w:val="001209A8"/>
    <w:rsid w:val="00121766"/>
    <w:rsid w:val="00124F7D"/>
    <w:rsid w:val="00126815"/>
    <w:rsid w:val="00126B6A"/>
    <w:rsid w:val="00130D33"/>
    <w:rsid w:val="00130D4C"/>
    <w:rsid w:val="00131571"/>
    <w:rsid w:val="001333AC"/>
    <w:rsid w:val="00134B32"/>
    <w:rsid w:val="00136D34"/>
    <w:rsid w:val="00136D67"/>
    <w:rsid w:val="0014083E"/>
    <w:rsid w:val="001421D1"/>
    <w:rsid w:val="001428AB"/>
    <w:rsid w:val="00142E70"/>
    <w:rsid w:val="00145F8D"/>
    <w:rsid w:val="001474B4"/>
    <w:rsid w:val="0015017A"/>
    <w:rsid w:val="001522BE"/>
    <w:rsid w:val="00154214"/>
    <w:rsid w:val="0015570D"/>
    <w:rsid w:val="0015588A"/>
    <w:rsid w:val="001618EB"/>
    <w:rsid w:val="001639C9"/>
    <w:rsid w:val="00164F5B"/>
    <w:rsid w:val="00171421"/>
    <w:rsid w:val="0017206D"/>
    <w:rsid w:val="00177F5D"/>
    <w:rsid w:val="00180AB4"/>
    <w:rsid w:val="0018406A"/>
    <w:rsid w:val="00186F5A"/>
    <w:rsid w:val="001905DF"/>
    <w:rsid w:val="00190E36"/>
    <w:rsid w:val="001931A2"/>
    <w:rsid w:val="00195E5A"/>
    <w:rsid w:val="00196714"/>
    <w:rsid w:val="001A0FB2"/>
    <w:rsid w:val="001A31C7"/>
    <w:rsid w:val="001A7847"/>
    <w:rsid w:val="001B0B1F"/>
    <w:rsid w:val="001B0B67"/>
    <w:rsid w:val="001B15ED"/>
    <w:rsid w:val="001B1637"/>
    <w:rsid w:val="001B172D"/>
    <w:rsid w:val="001B319E"/>
    <w:rsid w:val="001B56ED"/>
    <w:rsid w:val="001B7F2C"/>
    <w:rsid w:val="001C09BB"/>
    <w:rsid w:val="001C1270"/>
    <w:rsid w:val="001C152B"/>
    <w:rsid w:val="001C1B3A"/>
    <w:rsid w:val="001C4D40"/>
    <w:rsid w:val="001C4FFE"/>
    <w:rsid w:val="001C683D"/>
    <w:rsid w:val="001C6ED6"/>
    <w:rsid w:val="001C79D5"/>
    <w:rsid w:val="001C7D35"/>
    <w:rsid w:val="001D320C"/>
    <w:rsid w:val="001D350C"/>
    <w:rsid w:val="001D3824"/>
    <w:rsid w:val="001D6A24"/>
    <w:rsid w:val="001E0133"/>
    <w:rsid w:val="001E28CD"/>
    <w:rsid w:val="001E39F3"/>
    <w:rsid w:val="001E3A88"/>
    <w:rsid w:val="001E4461"/>
    <w:rsid w:val="001E5693"/>
    <w:rsid w:val="001E57FA"/>
    <w:rsid w:val="001F17A1"/>
    <w:rsid w:val="001F3A11"/>
    <w:rsid w:val="001F5DED"/>
    <w:rsid w:val="001F75E9"/>
    <w:rsid w:val="001F7B67"/>
    <w:rsid w:val="00200B7D"/>
    <w:rsid w:val="002012FF"/>
    <w:rsid w:val="00202F98"/>
    <w:rsid w:val="002038B1"/>
    <w:rsid w:val="0021019A"/>
    <w:rsid w:val="0021032C"/>
    <w:rsid w:val="002122BC"/>
    <w:rsid w:val="00216FEC"/>
    <w:rsid w:val="002170EB"/>
    <w:rsid w:val="00222212"/>
    <w:rsid w:val="00223857"/>
    <w:rsid w:val="00223CB0"/>
    <w:rsid w:val="002244EA"/>
    <w:rsid w:val="00225C2C"/>
    <w:rsid w:val="00232421"/>
    <w:rsid w:val="00233907"/>
    <w:rsid w:val="002347DE"/>
    <w:rsid w:val="00234818"/>
    <w:rsid w:val="002357FB"/>
    <w:rsid w:val="002419D1"/>
    <w:rsid w:val="0024265D"/>
    <w:rsid w:val="002439AC"/>
    <w:rsid w:val="00246D2B"/>
    <w:rsid w:val="00247624"/>
    <w:rsid w:val="0025015A"/>
    <w:rsid w:val="002501DA"/>
    <w:rsid w:val="00252DEC"/>
    <w:rsid w:val="0025311B"/>
    <w:rsid w:val="00253214"/>
    <w:rsid w:val="00253F24"/>
    <w:rsid w:val="00254AF0"/>
    <w:rsid w:val="00254BF1"/>
    <w:rsid w:val="00255052"/>
    <w:rsid w:val="002551C2"/>
    <w:rsid w:val="00255923"/>
    <w:rsid w:val="00264463"/>
    <w:rsid w:val="002650A8"/>
    <w:rsid w:val="00265C42"/>
    <w:rsid w:val="00266899"/>
    <w:rsid w:val="00267C3C"/>
    <w:rsid w:val="00267D39"/>
    <w:rsid w:val="002718ED"/>
    <w:rsid w:val="00272866"/>
    <w:rsid w:val="00273A00"/>
    <w:rsid w:val="00274DC0"/>
    <w:rsid w:val="00275E03"/>
    <w:rsid w:val="00276587"/>
    <w:rsid w:val="002816DF"/>
    <w:rsid w:val="0028312D"/>
    <w:rsid w:val="00283E86"/>
    <w:rsid w:val="00285095"/>
    <w:rsid w:val="0028542A"/>
    <w:rsid w:val="0028556A"/>
    <w:rsid w:val="00286C15"/>
    <w:rsid w:val="00290946"/>
    <w:rsid w:val="00290D4B"/>
    <w:rsid w:val="00292403"/>
    <w:rsid w:val="002A0E87"/>
    <w:rsid w:val="002A218E"/>
    <w:rsid w:val="002A598A"/>
    <w:rsid w:val="002A626E"/>
    <w:rsid w:val="002A75AF"/>
    <w:rsid w:val="002A769F"/>
    <w:rsid w:val="002A77DE"/>
    <w:rsid w:val="002B0F4A"/>
    <w:rsid w:val="002B2649"/>
    <w:rsid w:val="002B3B7B"/>
    <w:rsid w:val="002B3F39"/>
    <w:rsid w:val="002B6A85"/>
    <w:rsid w:val="002C04AA"/>
    <w:rsid w:val="002C2462"/>
    <w:rsid w:val="002C4CA1"/>
    <w:rsid w:val="002C50BC"/>
    <w:rsid w:val="002C5382"/>
    <w:rsid w:val="002C568F"/>
    <w:rsid w:val="002C6B39"/>
    <w:rsid w:val="002D12D0"/>
    <w:rsid w:val="002D3C0E"/>
    <w:rsid w:val="002D59F9"/>
    <w:rsid w:val="002D629F"/>
    <w:rsid w:val="002D66D0"/>
    <w:rsid w:val="002E0995"/>
    <w:rsid w:val="002E46D7"/>
    <w:rsid w:val="002E54F3"/>
    <w:rsid w:val="002F1E0A"/>
    <w:rsid w:val="002F3143"/>
    <w:rsid w:val="002F3C18"/>
    <w:rsid w:val="002F4B13"/>
    <w:rsid w:val="002F75A7"/>
    <w:rsid w:val="00303B41"/>
    <w:rsid w:val="00305516"/>
    <w:rsid w:val="00306F4F"/>
    <w:rsid w:val="00310132"/>
    <w:rsid w:val="0031321C"/>
    <w:rsid w:val="00313AAE"/>
    <w:rsid w:val="003164A2"/>
    <w:rsid w:val="00316AFF"/>
    <w:rsid w:val="00321126"/>
    <w:rsid w:val="0032150D"/>
    <w:rsid w:val="00321632"/>
    <w:rsid w:val="003224F6"/>
    <w:rsid w:val="00323536"/>
    <w:rsid w:val="00325277"/>
    <w:rsid w:val="0032527D"/>
    <w:rsid w:val="0032573F"/>
    <w:rsid w:val="003303FA"/>
    <w:rsid w:val="00331A9C"/>
    <w:rsid w:val="0033257C"/>
    <w:rsid w:val="00333609"/>
    <w:rsid w:val="00334353"/>
    <w:rsid w:val="00337765"/>
    <w:rsid w:val="0034079B"/>
    <w:rsid w:val="0034103D"/>
    <w:rsid w:val="00343C36"/>
    <w:rsid w:val="00345DCE"/>
    <w:rsid w:val="00347E95"/>
    <w:rsid w:val="00352248"/>
    <w:rsid w:val="00354CBB"/>
    <w:rsid w:val="003550B6"/>
    <w:rsid w:val="00355FD4"/>
    <w:rsid w:val="003579A5"/>
    <w:rsid w:val="003613B2"/>
    <w:rsid w:val="00365279"/>
    <w:rsid w:val="00371344"/>
    <w:rsid w:val="003715D7"/>
    <w:rsid w:val="00371BCB"/>
    <w:rsid w:val="00376D8D"/>
    <w:rsid w:val="00377278"/>
    <w:rsid w:val="0038391E"/>
    <w:rsid w:val="00384525"/>
    <w:rsid w:val="00384655"/>
    <w:rsid w:val="0038645B"/>
    <w:rsid w:val="00386B0C"/>
    <w:rsid w:val="00387EE1"/>
    <w:rsid w:val="00391E7B"/>
    <w:rsid w:val="00394A47"/>
    <w:rsid w:val="003974C3"/>
    <w:rsid w:val="003975F9"/>
    <w:rsid w:val="003A0AB5"/>
    <w:rsid w:val="003A1072"/>
    <w:rsid w:val="003A1C30"/>
    <w:rsid w:val="003A2B5F"/>
    <w:rsid w:val="003A2C28"/>
    <w:rsid w:val="003A432B"/>
    <w:rsid w:val="003A4CEA"/>
    <w:rsid w:val="003A5876"/>
    <w:rsid w:val="003B0787"/>
    <w:rsid w:val="003B1022"/>
    <w:rsid w:val="003B1088"/>
    <w:rsid w:val="003B11A3"/>
    <w:rsid w:val="003B1BE5"/>
    <w:rsid w:val="003B5A8C"/>
    <w:rsid w:val="003B61B7"/>
    <w:rsid w:val="003C14C4"/>
    <w:rsid w:val="003C20C4"/>
    <w:rsid w:val="003C3E3D"/>
    <w:rsid w:val="003C3F31"/>
    <w:rsid w:val="003C4503"/>
    <w:rsid w:val="003C61BB"/>
    <w:rsid w:val="003C7272"/>
    <w:rsid w:val="003D0CCE"/>
    <w:rsid w:val="003D20C2"/>
    <w:rsid w:val="003D5244"/>
    <w:rsid w:val="003D7172"/>
    <w:rsid w:val="003E094E"/>
    <w:rsid w:val="003E0A63"/>
    <w:rsid w:val="003E182F"/>
    <w:rsid w:val="003E201E"/>
    <w:rsid w:val="003E39EA"/>
    <w:rsid w:val="003E720D"/>
    <w:rsid w:val="003E7F3C"/>
    <w:rsid w:val="003F0B69"/>
    <w:rsid w:val="003F222E"/>
    <w:rsid w:val="003F4AB2"/>
    <w:rsid w:val="003F5D68"/>
    <w:rsid w:val="00401E3C"/>
    <w:rsid w:val="0040254E"/>
    <w:rsid w:val="004026AD"/>
    <w:rsid w:val="00402B99"/>
    <w:rsid w:val="00404836"/>
    <w:rsid w:val="00404B3F"/>
    <w:rsid w:val="00405E97"/>
    <w:rsid w:val="00407E47"/>
    <w:rsid w:val="00410CD0"/>
    <w:rsid w:val="00414E7B"/>
    <w:rsid w:val="004152F5"/>
    <w:rsid w:val="00415990"/>
    <w:rsid w:val="00416E27"/>
    <w:rsid w:val="00417228"/>
    <w:rsid w:val="004177B9"/>
    <w:rsid w:val="004228EB"/>
    <w:rsid w:val="00424E06"/>
    <w:rsid w:val="00425674"/>
    <w:rsid w:val="004259B0"/>
    <w:rsid w:val="004266FC"/>
    <w:rsid w:val="00432AD8"/>
    <w:rsid w:val="00433F00"/>
    <w:rsid w:val="00435B74"/>
    <w:rsid w:val="00435D25"/>
    <w:rsid w:val="00437BEA"/>
    <w:rsid w:val="00437E46"/>
    <w:rsid w:val="00441F9D"/>
    <w:rsid w:val="0044299E"/>
    <w:rsid w:val="004441A1"/>
    <w:rsid w:val="00444AAB"/>
    <w:rsid w:val="00444EB1"/>
    <w:rsid w:val="00450434"/>
    <w:rsid w:val="0045094A"/>
    <w:rsid w:val="00451139"/>
    <w:rsid w:val="00451E45"/>
    <w:rsid w:val="0045427F"/>
    <w:rsid w:val="00456B7B"/>
    <w:rsid w:val="0045710D"/>
    <w:rsid w:val="004578E4"/>
    <w:rsid w:val="004579C5"/>
    <w:rsid w:val="00463C96"/>
    <w:rsid w:val="00463E73"/>
    <w:rsid w:val="0046587A"/>
    <w:rsid w:val="00465E39"/>
    <w:rsid w:val="00467655"/>
    <w:rsid w:val="00471DC7"/>
    <w:rsid w:val="00472FF7"/>
    <w:rsid w:val="00473253"/>
    <w:rsid w:val="00473730"/>
    <w:rsid w:val="00473AF6"/>
    <w:rsid w:val="00475414"/>
    <w:rsid w:val="004769A5"/>
    <w:rsid w:val="00476BF2"/>
    <w:rsid w:val="004770F9"/>
    <w:rsid w:val="00480C66"/>
    <w:rsid w:val="004813D4"/>
    <w:rsid w:val="0048159E"/>
    <w:rsid w:val="00482AE9"/>
    <w:rsid w:val="0048480C"/>
    <w:rsid w:val="00490107"/>
    <w:rsid w:val="004909CB"/>
    <w:rsid w:val="00490E1C"/>
    <w:rsid w:val="00493031"/>
    <w:rsid w:val="004931B7"/>
    <w:rsid w:val="004961AA"/>
    <w:rsid w:val="004A3908"/>
    <w:rsid w:val="004A78FC"/>
    <w:rsid w:val="004B0D9E"/>
    <w:rsid w:val="004B357B"/>
    <w:rsid w:val="004B50DE"/>
    <w:rsid w:val="004B561A"/>
    <w:rsid w:val="004C1616"/>
    <w:rsid w:val="004C2DE3"/>
    <w:rsid w:val="004C2FCD"/>
    <w:rsid w:val="004C3992"/>
    <w:rsid w:val="004C541C"/>
    <w:rsid w:val="004C5767"/>
    <w:rsid w:val="004C624F"/>
    <w:rsid w:val="004C6783"/>
    <w:rsid w:val="004C7059"/>
    <w:rsid w:val="004D0034"/>
    <w:rsid w:val="004D0123"/>
    <w:rsid w:val="004D1533"/>
    <w:rsid w:val="004D15B6"/>
    <w:rsid w:val="004D592D"/>
    <w:rsid w:val="004D7E53"/>
    <w:rsid w:val="004E48ED"/>
    <w:rsid w:val="004E7537"/>
    <w:rsid w:val="004F1DA0"/>
    <w:rsid w:val="004F268A"/>
    <w:rsid w:val="004F26A8"/>
    <w:rsid w:val="004F34A6"/>
    <w:rsid w:val="004F4280"/>
    <w:rsid w:val="004F42B9"/>
    <w:rsid w:val="004F5BE8"/>
    <w:rsid w:val="005005A6"/>
    <w:rsid w:val="00500698"/>
    <w:rsid w:val="00504341"/>
    <w:rsid w:val="005048F2"/>
    <w:rsid w:val="00506DBB"/>
    <w:rsid w:val="00507A9C"/>
    <w:rsid w:val="00510A3C"/>
    <w:rsid w:val="005114B4"/>
    <w:rsid w:val="0051217C"/>
    <w:rsid w:val="0051294C"/>
    <w:rsid w:val="00513380"/>
    <w:rsid w:val="005139B1"/>
    <w:rsid w:val="00513EA0"/>
    <w:rsid w:val="00514F4C"/>
    <w:rsid w:val="005160ED"/>
    <w:rsid w:val="00516ADE"/>
    <w:rsid w:val="00517021"/>
    <w:rsid w:val="00521200"/>
    <w:rsid w:val="005216C1"/>
    <w:rsid w:val="00523F08"/>
    <w:rsid w:val="005247AB"/>
    <w:rsid w:val="00526063"/>
    <w:rsid w:val="00526528"/>
    <w:rsid w:val="00526B31"/>
    <w:rsid w:val="00526BCC"/>
    <w:rsid w:val="00527185"/>
    <w:rsid w:val="00527323"/>
    <w:rsid w:val="0053321E"/>
    <w:rsid w:val="005368D8"/>
    <w:rsid w:val="0054205C"/>
    <w:rsid w:val="00542CC8"/>
    <w:rsid w:val="00543E68"/>
    <w:rsid w:val="00544445"/>
    <w:rsid w:val="0054713A"/>
    <w:rsid w:val="005505A6"/>
    <w:rsid w:val="005519AF"/>
    <w:rsid w:val="00551DD8"/>
    <w:rsid w:val="005544E0"/>
    <w:rsid w:val="00557DD8"/>
    <w:rsid w:val="0056160C"/>
    <w:rsid w:val="0056371E"/>
    <w:rsid w:val="005655DB"/>
    <w:rsid w:val="0056582C"/>
    <w:rsid w:val="0057068A"/>
    <w:rsid w:val="0057104B"/>
    <w:rsid w:val="00571A80"/>
    <w:rsid w:val="00571FDE"/>
    <w:rsid w:val="005730A7"/>
    <w:rsid w:val="0057701F"/>
    <w:rsid w:val="005811B3"/>
    <w:rsid w:val="00583186"/>
    <w:rsid w:val="00583961"/>
    <w:rsid w:val="00586288"/>
    <w:rsid w:val="005867C6"/>
    <w:rsid w:val="00591CBD"/>
    <w:rsid w:val="00594BA1"/>
    <w:rsid w:val="0059562B"/>
    <w:rsid w:val="00595F74"/>
    <w:rsid w:val="00597BEE"/>
    <w:rsid w:val="00597F58"/>
    <w:rsid w:val="005A0DE5"/>
    <w:rsid w:val="005A10D8"/>
    <w:rsid w:val="005A264B"/>
    <w:rsid w:val="005A2659"/>
    <w:rsid w:val="005A3918"/>
    <w:rsid w:val="005A5624"/>
    <w:rsid w:val="005A5B77"/>
    <w:rsid w:val="005B0FD0"/>
    <w:rsid w:val="005B3247"/>
    <w:rsid w:val="005B3430"/>
    <w:rsid w:val="005B45DE"/>
    <w:rsid w:val="005B5DD3"/>
    <w:rsid w:val="005B6CBC"/>
    <w:rsid w:val="005B749D"/>
    <w:rsid w:val="005C394D"/>
    <w:rsid w:val="005C39C4"/>
    <w:rsid w:val="005C762E"/>
    <w:rsid w:val="005C7A5B"/>
    <w:rsid w:val="005D3FD1"/>
    <w:rsid w:val="005D460A"/>
    <w:rsid w:val="005D50CE"/>
    <w:rsid w:val="005E1764"/>
    <w:rsid w:val="005E2999"/>
    <w:rsid w:val="005E5A5D"/>
    <w:rsid w:val="005E75F2"/>
    <w:rsid w:val="005F6D35"/>
    <w:rsid w:val="005F7114"/>
    <w:rsid w:val="00600B77"/>
    <w:rsid w:val="00603E32"/>
    <w:rsid w:val="00605750"/>
    <w:rsid w:val="00605772"/>
    <w:rsid w:val="00606B16"/>
    <w:rsid w:val="00606E5F"/>
    <w:rsid w:val="00612801"/>
    <w:rsid w:val="00615A6F"/>
    <w:rsid w:val="00616BD4"/>
    <w:rsid w:val="00617558"/>
    <w:rsid w:val="00620FA6"/>
    <w:rsid w:val="00623BD9"/>
    <w:rsid w:val="00623C24"/>
    <w:rsid w:val="006268EA"/>
    <w:rsid w:val="00627BBA"/>
    <w:rsid w:val="00632962"/>
    <w:rsid w:val="00635763"/>
    <w:rsid w:val="006362AA"/>
    <w:rsid w:val="00640523"/>
    <w:rsid w:val="00640B5E"/>
    <w:rsid w:val="006410DF"/>
    <w:rsid w:val="00641BC6"/>
    <w:rsid w:val="00642982"/>
    <w:rsid w:val="0064536D"/>
    <w:rsid w:val="00645376"/>
    <w:rsid w:val="00647673"/>
    <w:rsid w:val="0065018B"/>
    <w:rsid w:val="006520BD"/>
    <w:rsid w:val="006529A5"/>
    <w:rsid w:val="006535B8"/>
    <w:rsid w:val="00657CBC"/>
    <w:rsid w:val="006603D7"/>
    <w:rsid w:val="00662E06"/>
    <w:rsid w:val="00663875"/>
    <w:rsid w:val="006645BF"/>
    <w:rsid w:val="00672865"/>
    <w:rsid w:val="00674416"/>
    <w:rsid w:val="00676518"/>
    <w:rsid w:val="00677B2B"/>
    <w:rsid w:val="00680C0B"/>
    <w:rsid w:val="006845CD"/>
    <w:rsid w:val="00686890"/>
    <w:rsid w:val="00687D6E"/>
    <w:rsid w:val="00691FD7"/>
    <w:rsid w:val="006922AE"/>
    <w:rsid w:val="00693A74"/>
    <w:rsid w:val="006940B3"/>
    <w:rsid w:val="006945E3"/>
    <w:rsid w:val="00694B09"/>
    <w:rsid w:val="006951C6"/>
    <w:rsid w:val="00697E04"/>
    <w:rsid w:val="006A1554"/>
    <w:rsid w:val="006A2494"/>
    <w:rsid w:val="006A337D"/>
    <w:rsid w:val="006A38E3"/>
    <w:rsid w:val="006A3FE7"/>
    <w:rsid w:val="006A479A"/>
    <w:rsid w:val="006A4AE0"/>
    <w:rsid w:val="006A61D8"/>
    <w:rsid w:val="006A6F7A"/>
    <w:rsid w:val="006B14FB"/>
    <w:rsid w:val="006B57A4"/>
    <w:rsid w:val="006B648D"/>
    <w:rsid w:val="006C0F88"/>
    <w:rsid w:val="006C49C9"/>
    <w:rsid w:val="006D2A84"/>
    <w:rsid w:val="006D2B22"/>
    <w:rsid w:val="006D5D79"/>
    <w:rsid w:val="006E0A1A"/>
    <w:rsid w:val="006E447D"/>
    <w:rsid w:val="006E60D5"/>
    <w:rsid w:val="006E7927"/>
    <w:rsid w:val="006E7B4B"/>
    <w:rsid w:val="006F01B4"/>
    <w:rsid w:val="006F2F6A"/>
    <w:rsid w:val="006F32B6"/>
    <w:rsid w:val="006F38A6"/>
    <w:rsid w:val="006F4575"/>
    <w:rsid w:val="006F78B9"/>
    <w:rsid w:val="00700009"/>
    <w:rsid w:val="0070050D"/>
    <w:rsid w:val="00700C8D"/>
    <w:rsid w:val="00700CD0"/>
    <w:rsid w:val="0070195D"/>
    <w:rsid w:val="00701E3C"/>
    <w:rsid w:val="00702572"/>
    <w:rsid w:val="0070431D"/>
    <w:rsid w:val="00704679"/>
    <w:rsid w:val="00704FA8"/>
    <w:rsid w:val="00705EE3"/>
    <w:rsid w:val="007108B0"/>
    <w:rsid w:val="00711550"/>
    <w:rsid w:val="00712112"/>
    <w:rsid w:val="0071471F"/>
    <w:rsid w:val="007154A9"/>
    <w:rsid w:val="00715603"/>
    <w:rsid w:val="00716E6A"/>
    <w:rsid w:val="007218E5"/>
    <w:rsid w:val="00724FC4"/>
    <w:rsid w:val="00727ED2"/>
    <w:rsid w:val="00730EC7"/>
    <w:rsid w:val="007351C8"/>
    <w:rsid w:val="00735347"/>
    <w:rsid w:val="00736139"/>
    <w:rsid w:val="00736B7C"/>
    <w:rsid w:val="00741287"/>
    <w:rsid w:val="00750252"/>
    <w:rsid w:val="00750926"/>
    <w:rsid w:val="00750B02"/>
    <w:rsid w:val="00750F26"/>
    <w:rsid w:val="00753B40"/>
    <w:rsid w:val="00753F6B"/>
    <w:rsid w:val="00755B69"/>
    <w:rsid w:val="007603E8"/>
    <w:rsid w:val="00760B71"/>
    <w:rsid w:val="007621A0"/>
    <w:rsid w:val="00762AB5"/>
    <w:rsid w:val="00764263"/>
    <w:rsid w:val="0076437D"/>
    <w:rsid w:val="0076506B"/>
    <w:rsid w:val="00765087"/>
    <w:rsid w:val="00767169"/>
    <w:rsid w:val="0077075E"/>
    <w:rsid w:val="00771CF5"/>
    <w:rsid w:val="00773379"/>
    <w:rsid w:val="00776C26"/>
    <w:rsid w:val="007770D5"/>
    <w:rsid w:val="007773F7"/>
    <w:rsid w:val="00780592"/>
    <w:rsid w:val="007813A4"/>
    <w:rsid w:val="00783009"/>
    <w:rsid w:val="00785552"/>
    <w:rsid w:val="007855D8"/>
    <w:rsid w:val="0078760C"/>
    <w:rsid w:val="00787C1D"/>
    <w:rsid w:val="00787DF0"/>
    <w:rsid w:val="0079131E"/>
    <w:rsid w:val="00791EA1"/>
    <w:rsid w:val="007923F3"/>
    <w:rsid w:val="0079271A"/>
    <w:rsid w:val="00793854"/>
    <w:rsid w:val="00793E84"/>
    <w:rsid w:val="00797D27"/>
    <w:rsid w:val="007A00B6"/>
    <w:rsid w:val="007A135D"/>
    <w:rsid w:val="007A21C9"/>
    <w:rsid w:val="007A252F"/>
    <w:rsid w:val="007A31EF"/>
    <w:rsid w:val="007A38E8"/>
    <w:rsid w:val="007A4517"/>
    <w:rsid w:val="007A506E"/>
    <w:rsid w:val="007A7784"/>
    <w:rsid w:val="007A7C8E"/>
    <w:rsid w:val="007A7F32"/>
    <w:rsid w:val="007B0E1D"/>
    <w:rsid w:val="007B1172"/>
    <w:rsid w:val="007B1A19"/>
    <w:rsid w:val="007B40D1"/>
    <w:rsid w:val="007B640B"/>
    <w:rsid w:val="007C1F8C"/>
    <w:rsid w:val="007C7F7C"/>
    <w:rsid w:val="007D1A35"/>
    <w:rsid w:val="007D2B6F"/>
    <w:rsid w:val="007D493E"/>
    <w:rsid w:val="007D57E1"/>
    <w:rsid w:val="007D73FC"/>
    <w:rsid w:val="007E286C"/>
    <w:rsid w:val="007E574C"/>
    <w:rsid w:val="007F005C"/>
    <w:rsid w:val="007F1D83"/>
    <w:rsid w:val="007F25F3"/>
    <w:rsid w:val="007F25F4"/>
    <w:rsid w:val="007F5058"/>
    <w:rsid w:val="007F5086"/>
    <w:rsid w:val="007F630B"/>
    <w:rsid w:val="00802871"/>
    <w:rsid w:val="00803AF0"/>
    <w:rsid w:val="00804DC3"/>
    <w:rsid w:val="00805796"/>
    <w:rsid w:val="008064CE"/>
    <w:rsid w:val="0080661C"/>
    <w:rsid w:val="00806E4E"/>
    <w:rsid w:val="008106CC"/>
    <w:rsid w:val="00812303"/>
    <w:rsid w:val="008139D2"/>
    <w:rsid w:val="0081531F"/>
    <w:rsid w:val="008160F5"/>
    <w:rsid w:val="008163B7"/>
    <w:rsid w:val="0081681E"/>
    <w:rsid w:val="00817F20"/>
    <w:rsid w:val="008236FF"/>
    <w:rsid w:val="00823838"/>
    <w:rsid w:val="008266D9"/>
    <w:rsid w:val="0082765B"/>
    <w:rsid w:val="00831A68"/>
    <w:rsid w:val="008325FA"/>
    <w:rsid w:val="00832A73"/>
    <w:rsid w:val="0083300C"/>
    <w:rsid w:val="00833310"/>
    <w:rsid w:val="00833399"/>
    <w:rsid w:val="00834254"/>
    <w:rsid w:val="008348EC"/>
    <w:rsid w:val="00835EAA"/>
    <w:rsid w:val="00837052"/>
    <w:rsid w:val="00840226"/>
    <w:rsid w:val="008411F2"/>
    <w:rsid w:val="00841815"/>
    <w:rsid w:val="00842B68"/>
    <w:rsid w:val="00843CA1"/>
    <w:rsid w:val="00845A7F"/>
    <w:rsid w:val="00846906"/>
    <w:rsid w:val="008469FC"/>
    <w:rsid w:val="00847321"/>
    <w:rsid w:val="008476C2"/>
    <w:rsid w:val="008477A4"/>
    <w:rsid w:val="00851BCC"/>
    <w:rsid w:val="00851D21"/>
    <w:rsid w:val="008525EC"/>
    <w:rsid w:val="00854247"/>
    <w:rsid w:val="00855B9A"/>
    <w:rsid w:val="00857924"/>
    <w:rsid w:val="008622F1"/>
    <w:rsid w:val="00865BF2"/>
    <w:rsid w:val="00867622"/>
    <w:rsid w:val="008705B3"/>
    <w:rsid w:val="0087069E"/>
    <w:rsid w:val="00877749"/>
    <w:rsid w:val="00880315"/>
    <w:rsid w:val="008808A0"/>
    <w:rsid w:val="00881D4D"/>
    <w:rsid w:val="0088463E"/>
    <w:rsid w:val="00884645"/>
    <w:rsid w:val="0088472D"/>
    <w:rsid w:val="00884852"/>
    <w:rsid w:val="008849AE"/>
    <w:rsid w:val="00885B51"/>
    <w:rsid w:val="0088650F"/>
    <w:rsid w:val="00886895"/>
    <w:rsid w:val="008907D4"/>
    <w:rsid w:val="00891213"/>
    <w:rsid w:val="00894533"/>
    <w:rsid w:val="00896D19"/>
    <w:rsid w:val="008A0959"/>
    <w:rsid w:val="008A38DB"/>
    <w:rsid w:val="008A49AE"/>
    <w:rsid w:val="008A58CE"/>
    <w:rsid w:val="008A7083"/>
    <w:rsid w:val="008A75F5"/>
    <w:rsid w:val="008B18DC"/>
    <w:rsid w:val="008B19D1"/>
    <w:rsid w:val="008B21CF"/>
    <w:rsid w:val="008B2BBE"/>
    <w:rsid w:val="008B2CEE"/>
    <w:rsid w:val="008B43A9"/>
    <w:rsid w:val="008C1236"/>
    <w:rsid w:val="008C2771"/>
    <w:rsid w:val="008C304F"/>
    <w:rsid w:val="008C3B8E"/>
    <w:rsid w:val="008C539F"/>
    <w:rsid w:val="008C613F"/>
    <w:rsid w:val="008C6F7C"/>
    <w:rsid w:val="008D067E"/>
    <w:rsid w:val="008D228B"/>
    <w:rsid w:val="008D2DBB"/>
    <w:rsid w:val="008D4C24"/>
    <w:rsid w:val="008D57B4"/>
    <w:rsid w:val="008E0454"/>
    <w:rsid w:val="008E0F73"/>
    <w:rsid w:val="008E125B"/>
    <w:rsid w:val="008E36E2"/>
    <w:rsid w:val="008E3E17"/>
    <w:rsid w:val="008E67EF"/>
    <w:rsid w:val="008E6AAE"/>
    <w:rsid w:val="008F2692"/>
    <w:rsid w:val="008F32A5"/>
    <w:rsid w:val="008F362C"/>
    <w:rsid w:val="008F3FD0"/>
    <w:rsid w:val="008F5E0E"/>
    <w:rsid w:val="008F705A"/>
    <w:rsid w:val="00900739"/>
    <w:rsid w:val="0090096E"/>
    <w:rsid w:val="00900D6D"/>
    <w:rsid w:val="00904073"/>
    <w:rsid w:val="00904CE8"/>
    <w:rsid w:val="009178F0"/>
    <w:rsid w:val="00920375"/>
    <w:rsid w:val="00921FBE"/>
    <w:rsid w:val="00923255"/>
    <w:rsid w:val="00924732"/>
    <w:rsid w:val="00925E2A"/>
    <w:rsid w:val="0092715E"/>
    <w:rsid w:val="00930A6E"/>
    <w:rsid w:val="00930A88"/>
    <w:rsid w:val="00935474"/>
    <w:rsid w:val="00936D11"/>
    <w:rsid w:val="009418BF"/>
    <w:rsid w:val="00942E74"/>
    <w:rsid w:val="009445D6"/>
    <w:rsid w:val="00944BC7"/>
    <w:rsid w:val="00945577"/>
    <w:rsid w:val="00947D68"/>
    <w:rsid w:val="0095080A"/>
    <w:rsid w:val="00951DC6"/>
    <w:rsid w:val="00954112"/>
    <w:rsid w:val="0095443C"/>
    <w:rsid w:val="00954CD7"/>
    <w:rsid w:val="009553E6"/>
    <w:rsid w:val="00955F0B"/>
    <w:rsid w:val="00957232"/>
    <w:rsid w:val="0096072B"/>
    <w:rsid w:val="00961F46"/>
    <w:rsid w:val="00962F9D"/>
    <w:rsid w:val="00971BFB"/>
    <w:rsid w:val="00973790"/>
    <w:rsid w:val="00973DD4"/>
    <w:rsid w:val="009761C5"/>
    <w:rsid w:val="009765AC"/>
    <w:rsid w:val="009766D2"/>
    <w:rsid w:val="00976DA4"/>
    <w:rsid w:val="0098456D"/>
    <w:rsid w:val="00984584"/>
    <w:rsid w:val="00984D2A"/>
    <w:rsid w:val="00986121"/>
    <w:rsid w:val="00987E83"/>
    <w:rsid w:val="009922E7"/>
    <w:rsid w:val="00992688"/>
    <w:rsid w:val="00993E1E"/>
    <w:rsid w:val="00995042"/>
    <w:rsid w:val="009968D3"/>
    <w:rsid w:val="009A4370"/>
    <w:rsid w:val="009A48B3"/>
    <w:rsid w:val="009A4B60"/>
    <w:rsid w:val="009A540B"/>
    <w:rsid w:val="009A66EA"/>
    <w:rsid w:val="009B0063"/>
    <w:rsid w:val="009B0B61"/>
    <w:rsid w:val="009B0E68"/>
    <w:rsid w:val="009B28A6"/>
    <w:rsid w:val="009B324E"/>
    <w:rsid w:val="009B3FFB"/>
    <w:rsid w:val="009B5673"/>
    <w:rsid w:val="009B5B35"/>
    <w:rsid w:val="009C05DA"/>
    <w:rsid w:val="009C1E69"/>
    <w:rsid w:val="009C388C"/>
    <w:rsid w:val="009C3E02"/>
    <w:rsid w:val="009C3FF2"/>
    <w:rsid w:val="009C5F68"/>
    <w:rsid w:val="009D0389"/>
    <w:rsid w:val="009D2880"/>
    <w:rsid w:val="009D52E6"/>
    <w:rsid w:val="009D7399"/>
    <w:rsid w:val="009E10AC"/>
    <w:rsid w:val="009E1A70"/>
    <w:rsid w:val="009E1C8B"/>
    <w:rsid w:val="009E5259"/>
    <w:rsid w:val="009E5492"/>
    <w:rsid w:val="009E5D3C"/>
    <w:rsid w:val="009E5F86"/>
    <w:rsid w:val="009E6956"/>
    <w:rsid w:val="009F0BE7"/>
    <w:rsid w:val="009F29A7"/>
    <w:rsid w:val="009F751B"/>
    <w:rsid w:val="009F7B74"/>
    <w:rsid w:val="00A003F5"/>
    <w:rsid w:val="00A00956"/>
    <w:rsid w:val="00A01D79"/>
    <w:rsid w:val="00A03F51"/>
    <w:rsid w:val="00A10D1A"/>
    <w:rsid w:val="00A11B01"/>
    <w:rsid w:val="00A12B3F"/>
    <w:rsid w:val="00A134D4"/>
    <w:rsid w:val="00A16141"/>
    <w:rsid w:val="00A21C5A"/>
    <w:rsid w:val="00A2606B"/>
    <w:rsid w:val="00A30C92"/>
    <w:rsid w:val="00A30C9C"/>
    <w:rsid w:val="00A32AE4"/>
    <w:rsid w:val="00A3511E"/>
    <w:rsid w:val="00A41A08"/>
    <w:rsid w:val="00A42116"/>
    <w:rsid w:val="00A42208"/>
    <w:rsid w:val="00A43D03"/>
    <w:rsid w:val="00A46DC7"/>
    <w:rsid w:val="00A4704A"/>
    <w:rsid w:val="00A47BD2"/>
    <w:rsid w:val="00A5120B"/>
    <w:rsid w:val="00A523B7"/>
    <w:rsid w:val="00A52FD4"/>
    <w:rsid w:val="00A56CE6"/>
    <w:rsid w:val="00A5788A"/>
    <w:rsid w:val="00A63B97"/>
    <w:rsid w:val="00A711CA"/>
    <w:rsid w:val="00A76EB5"/>
    <w:rsid w:val="00A7705C"/>
    <w:rsid w:val="00A80B48"/>
    <w:rsid w:val="00A81B94"/>
    <w:rsid w:val="00A82278"/>
    <w:rsid w:val="00A82E9E"/>
    <w:rsid w:val="00A82EC8"/>
    <w:rsid w:val="00A838BB"/>
    <w:rsid w:val="00A83A3A"/>
    <w:rsid w:val="00A83CD4"/>
    <w:rsid w:val="00A83DE8"/>
    <w:rsid w:val="00A8483D"/>
    <w:rsid w:val="00A8487B"/>
    <w:rsid w:val="00A84EDE"/>
    <w:rsid w:val="00A87073"/>
    <w:rsid w:val="00A87420"/>
    <w:rsid w:val="00A9038D"/>
    <w:rsid w:val="00A90ECD"/>
    <w:rsid w:val="00A920C3"/>
    <w:rsid w:val="00A92801"/>
    <w:rsid w:val="00A92DE1"/>
    <w:rsid w:val="00A9376E"/>
    <w:rsid w:val="00A95E19"/>
    <w:rsid w:val="00A9610C"/>
    <w:rsid w:val="00AA345E"/>
    <w:rsid w:val="00AA4B4C"/>
    <w:rsid w:val="00AA5678"/>
    <w:rsid w:val="00AA59AF"/>
    <w:rsid w:val="00AA624F"/>
    <w:rsid w:val="00AA713A"/>
    <w:rsid w:val="00AB01A3"/>
    <w:rsid w:val="00AB6765"/>
    <w:rsid w:val="00AB7AF5"/>
    <w:rsid w:val="00AC5A94"/>
    <w:rsid w:val="00AC5C0B"/>
    <w:rsid w:val="00AC742F"/>
    <w:rsid w:val="00AC7920"/>
    <w:rsid w:val="00AD1E34"/>
    <w:rsid w:val="00AD2720"/>
    <w:rsid w:val="00AD4B0B"/>
    <w:rsid w:val="00AD5AA1"/>
    <w:rsid w:val="00AE0181"/>
    <w:rsid w:val="00AE0A7A"/>
    <w:rsid w:val="00AE0EDE"/>
    <w:rsid w:val="00AE2291"/>
    <w:rsid w:val="00AE387B"/>
    <w:rsid w:val="00AE4F3C"/>
    <w:rsid w:val="00AE5622"/>
    <w:rsid w:val="00AE6292"/>
    <w:rsid w:val="00AE75AE"/>
    <w:rsid w:val="00AF017D"/>
    <w:rsid w:val="00AF3548"/>
    <w:rsid w:val="00AF4265"/>
    <w:rsid w:val="00AF428C"/>
    <w:rsid w:val="00B00282"/>
    <w:rsid w:val="00B00419"/>
    <w:rsid w:val="00B008AE"/>
    <w:rsid w:val="00B01311"/>
    <w:rsid w:val="00B01797"/>
    <w:rsid w:val="00B0191D"/>
    <w:rsid w:val="00B046ED"/>
    <w:rsid w:val="00B05C54"/>
    <w:rsid w:val="00B068D6"/>
    <w:rsid w:val="00B105F3"/>
    <w:rsid w:val="00B135E7"/>
    <w:rsid w:val="00B15D13"/>
    <w:rsid w:val="00B16430"/>
    <w:rsid w:val="00B17872"/>
    <w:rsid w:val="00B213FE"/>
    <w:rsid w:val="00B23CF9"/>
    <w:rsid w:val="00B249D7"/>
    <w:rsid w:val="00B26BDD"/>
    <w:rsid w:val="00B31675"/>
    <w:rsid w:val="00B3431A"/>
    <w:rsid w:val="00B36932"/>
    <w:rsid w:val="00B370EF"/>
    <w:rsid w:val="00B37321"/>
    <w:rsid w:val="00B402C7"/>
    <w:rsid w:val="00B421BC"/>
    <w:rsid w:val="00B430BA"/>
    <w:rsid w:val="00B45A85"/>
    <w:rsid w:val="00B47406"/>
    <w:rsid w:val="00B51114"/>
    <w:rsid w:val="00B54305"/>
    <w:rsid w:val="00B55318"/>
    <w:rsid w:val="00B557AC"/>
    <w:rsid w:val="00B55A46"/>
    <w:rsid w:val="00B55BB1"/>
    <w:rsid w:val="00B55EB3"/>
    <w:rsid w:val="00B564F9"/>
    <w:rsid w:val="00B57747"/>
    <w:rsid w:val="00B60754"/>
    <w:rsid w:val="00B609D9"/>
    <w:rsid w:val="00B6146D"/>
    <w:rsid w:val="00B62B20"/>
    <w:rsid w:val="00B6611C"/>
    <w:rsid w:val="00B7052D"/>
    <w:rsid w:val="00B73B86"/>
    <w:rsid w:val="00B740AE"/>
    <w:rsid w:val="00B74E0C"/>
    <w:rsid w:val="00B81863"/>
    <w:rsid w:val="00B82607"/>
    <w:rsid w:val="00B846FC"/>
    <w:rsid w:val="00B850E6"/>
    <w:rsid w:val="00B85BCD"/>
    <w:rsid w:val="00B87C46"/>
    <w:rsid w:val="00B919C1"/>
    <w:rsid w:val="00B937E9"/>
    <w:rsid w:val="00B9419B"/>
    <w:rsid w:val="00B96766"/>
    <w:rsid w:val="00B97FF5"/>
    <w:rsid w:val="00BA0A28"/>
    <w:rsid w:val="00BA13A1"/>
    <w:rsid w:val="00BA1536"/>
    <w:rsid w:val="00BA261D"/>
    <w:rsid w:val="00BA45F6"/>
    <w:rsid w:val="00BA590D"/>
    <w:rsid w:val="00BA5A1D"/>
    <w:rsid w:val="00BA63DC"/>
    <w:rsid w:val="00BB24AE"/>
    <w:rsid w:val="00BB2917"/>
    <w:rsid w:val="00BB6C57"/>
    <w:rsid w:val="00BC122D"/>
    <w:rsid w:val="00BC1ED8"/>
    <w:rsid w:val="00BC1F27"/>
    <w:rsid w:val="00BC1F9B"/>
    <w:rsid w:val="00BC249D"/>
    <w:rsid w:val="00BC32A2"/>
    <w:rsid w:val="00BC549F"/>
    <w:rsid w:val="00BC6321"/>
    <w:rsid w:val="00BD056E"/>
    <w:rsid w:val="00BD43B8"/>
    <w:rsid w:val="00BD7DE3"/>
    <w:rsid w:val="00BE1454"/>
    <w:rsid w:val="00BE208C"/>
    <w:rsid w:val="00BE41C6"/>
    <w:rsid w:val="00BE4798"/>
    <w:rsid w:val="00BE6311"/>
    <w:rsid w:val="00BE6EE5"/>
    <w:rsid w:val="00BE7364"/>
    <w:rsid w:val="00BE788C"/>
    <w:rsid w:val="00BF04F0"/>
    <w:rsid w:val="00BF2CFE"/>
    <w:rsid w:val="00BF414A"/>
    <w:rsid w:val="00BF44E3"/>
    <w:rsid w:val="00BF56BB"/>
    <w:rsid w:val="00BF6F21"/>
    <w:rsid w:val="00BF71D2"/>
    <w:rsid w:val="00C00698"/>
    <w:rsid w:val="00C014A1"/>
    <w:rsid w:val="00C02608"/>
    <w:rsid w:val="00C05D4D"/>
    <w:rsid w:val="00C07717"/>
    <w:rsid w:val="00C07C3B"/>
    <w:rsid w:val="00C105DD"/>
    <w:rsid w:val="00C10967"/>
    <w:rsid w:val="00C12A1F"/>
    <w:rsid w:val="00C139DC"/>
    <w:rsid w:val="00C13C60"/>
    <w:rsid w:val="00C1743B"/>
    <w:rsid w:val="00C21EA6"/>
    <w:rsid w:val="00C237D2"/>
    <w:rsid w:val="00C23E9C"/>
    <w:rsid w:val="00C2500E"/>
    <w:rsid w:val="00C25593"/>
    <w:rsid w:val="00C27EA7"/>
    <w:rsid w:val="00C3179F"/>
    <w:rsid w:val="00C33935"/>
    <w:rsid w:val="00C35018"/>
    <w:rsid w:val="00C367F7"/>
    <w:rsid w:val="00C378D8"/>
    <w:rsid w:val="00C40A84"/>
    <w:rsid w:val="00C41866"/>
    <w:rsid w:val="00C4332B"/>
    <w:rsid w:val="00C45869"/>
    <w:rsid w:val="00C45C95"/>
    <w:rsid w:val="00C468E2"/>
    <w:rsid w:val="00C52BED"/>
    <w:rsid w:val="00C55B1C"/>
    <w:rsid w:val="00C61053"/>
    <w:rsid w:val="00C63CEC"/>
    <w:rsid w:val="00C64701"/>
    <w:rsid w:val="00C67959"/>
    <w:rsid w:val="00C7364C"/>
    <w:rsid w:val="00C75F3C"/>
    <w:rsid w:val="00C765D5"/>
    <w:rsid w:val="00C76E9E"/>
    <w:rsid w:val="00C7739E"/>
    <w:rsid w:val="00C81402"/>
    <w:rsid w:val="00C84627"/>
    <w:rsid w:val="00C85000"/>
    <w:rsid w:val="00C90537"/>
    <w:rsid w:val="00C944DD"/>
    <w:rsid w:val="00C95600"/>
    <w:rsid w:val="00C964A8"/>
    <w:rsid w:val="00C97F7A"/>
    <w:rsid w:val="00CA1F29"/>
    <w:rsid w:val="00CA3270"/>
    <w:rsid w:val="00CA3823"/>
    <w:rsid w:val="00CA5296"/>
    <w:rsid w:val="00CA710A"/>
    <w:rsid w:val="00CB071D"/>
    <w:rsid w:val="00CB3362"/>
    <w:rsid w:val="00CB4BF1"/>
    <w:rsid w:val="00CC1D92"/>
    <w:rsid w:val="00CC2F7D"/>
    <w:rsid w:val="00CC663A"/>
    <w:rsid w:val="00CC71F3"/>
    <w:rsid w:val="00CC757C"/>
    <w:rsid w:val="00CC764A"/>
    <w:rsid w:val="00CC7C45"/>
    <w:rsid w:val="00CD2D1F"/>
    <w:rsid w:val="00CD5B7A"/>
    <w:rsid w:val="00CD6041"/>
    <w:rsid w:val="00CD6263"/>
    <w:rsid w:val="00CD6752"/>
    <w:rsid w:val="00CD6788"/>
    <w:rsid w:val="00CD7299"/>
    <w:rsid w:val="00CD73A0"/>
    <w:rsid w:val="00CD7648"/>
    <w:rsid w:val="00CD76C0"/>
    <w:rsid w:val="00CE0EC1"/>
    <w:rsid w:val="00CE2A56"/>
    <w:rsid w:val="00CE5EBE"/>
    <w:rsid w:val="00CE69A3"/>
    <w:rsid w:val="00CE7800"/>
    <w:rsid w:val="00CF3DE6"/>
    <w:rsid w:val="00CF3E4B"/>
    <w:rsid w:val="00CF579D"/>
    <w:rsid w:val="00CF583E"/>
    <w:rsid w:val="00CF5CF2"/>
    <w:rsid w:val="00CF792B"/>
    <w:rsid w:val="00D021FA"/>
    <w:rsid w:val="00D03AE8"/>
    <w:rsid w:val="00D046E2"/>
    <w:rsid w:val="00D06365"/>
    <w:rsid w:val="00D102A7"/>
    <w:rsid w:val="00D12B8F"/>
    <w:rsid w:val="00D17C8A"/>
    <w:rsid w:val="00D21BEC"/>
    <w:rsid w:val="00D26677"/>
    <w:rsid w:val="00D321D9"/>
    <w:rsid w:val="00D329AE"/>
    <w:rsid w:val="00D334FD"/>
    <w:rsid w:val="00D357AA"/>
    <w:rsid w:val="00D403D6"/>
    <w:rsid w:val="00D40639"/>
    <w:rsid w:val="00D436BD"/>
    <w:rsid w:val="00D445FB"/>
    <w:rsid w:val="00D44FE4"/>
    <w:rsid w:val="00D466CF"/>
    <w:rsid w:val="00D52440"/>
    <w:rsid w:val="00D561E2"/>
    <w:rsid w:val="00D562E7"/>
    <w:rsid w:val="00D5693B"/>
    <w:rsid w:val="00D57674"/>
    <w:rsid w:val="00D62CD4"/>
    <w:rsid w:val="00D64E62"/>
    <w:rsid w:val="00D66836"/>
    <w:rsid w:val="00D6683A"/>
    <w:rsid w:val="00D66FCE"/>
    <w:rsid w:val="00D700EB"/>
    <w:rsid w:val="00D71E9C"/>
    <w:rsid w:val="00D72D40"/>
    <w:rsid w:val="00D73916"/>
    <w:rsid w:val="00D7395B"/>
    <w:rsid w:val="00D76A61"/>
    <w:rsid w:val="00D76ACB"/>
    <w:rsid w:val="00D773CC"/>
    <w:rsid w:val="00D839AA"/>
    <w:rsid w:val="00D83EE7"/>
    <w:rsid w:val="00D84CB5"/>
    <w:rsid w:val="00D84F99"/>
    <w:rsid w:val="00D8586B"/>
    <w:rsid w:val="00D8609B"/>
    <w:rsid w:val="00D872D5"/>
    <w:rsid w:val="00D94B79"/>
    <w:rsid w:val="00D94C71"/>
    <w:rsid w:val="00DA175C"/>
    <w:rsid w:val="00DA2599"/>
    <w:rsid w:val="00DA3CAC"/>
    <w:rsid w:val="00DA667B"/>
    <w:rsid w:val="00DB06BC"/>
    <w:rsid w:val="00DB5829"/>
    <w:rsid w:val="00DB5DA8"/>
    <w:rsid w:val="00DB76EC"/>
    <w:rsid w:val="00DB7C17"/>
    <w:rsid w:val="00DC0D02"/>
    <w:rsid w:val="00DC1246"/>
    <w:rsid w:val="00DC1B98"/>
    <w:rsid w:val="00DC1C48"/>
    <w:rsid w:val="00DC670C"/>
    <w:rsid w:val="00DC6F69"/>
    <w:rsid w:val="00DD48DD"/>
    <w:rsid w:val="00DD64A7"/>
    <w:rsid w:val="00DE1802"/>
    <w:rsid w:val="00DE273D"/>
    <w:rsid w:val="00DE37E3"/>
    <w:rsid w:val="00DE5B50"/>
    <w:rsid w:val="00DE606E"/>
    <w:rsid w:val="00DF27C9"/>
    <w:rsid w:val="00DF2937"/>
    <w:rsid w:val="00DF3167"/>
    <w:rsid w:val="00DF52C4"/>
    <w:rsid w:val="00DF52E3"/>
    <w:rsid w:val="00DF64A1"/>
    <w:rsid w:val="00DF64F5"/>
    <w:rsid w:val="00DF6F74"/>
    <w:rsid w:val="00E0798E"/>
    <w:rsid w:val="00E12AC3"/>
    <w:rsid w:val="00E163BC"/>
    <w:rsid w:val="00E17999"/>
    <w:rsid w:val="00E17B3E"/>
    <w:rsid w:val="00E21463"/>
    <w:rsid w:val="00E236E4"/>
    <w:rsid w:val="00E246AB"/>
    <w:rsid w:val="00E25858"/>
    <w:rsid w:val="00E26F73"/>
    <w:rsid w:val="00E27D5B"/>
    <w:rsid w:val="00E317C7"/>
    <w:rsid w:val="00E31EE5"/>
    <w:rsid w:val="00E36B0A"/>
    <w:rsid w:val="00E431F6"/>
    <w:rsid w:val="00E45ED0"/>
    <w:rsid w:val="00E47173"/>
    <w:rsid w:val="00E56A60"/>
    <w:rsid w:val="00E57EC5"/>
    <w:rsid w:val="00E61E12"/>
    <w:rsid w:val="00E624D9"/>
    <w:rsid w:val="00E628D5"/>
    <w:rsid w:val="00E644A1"/>
    <w:rsid w:val="00E65481"/>
    <w:rsid w:val="00E7190D"/>
    <w:rsid w:val="00E719E7"/>
    <w:rsid w:val="00E71F07"/>
    <w:rsid w:val="00E71FEF"/>
    <w:rsid w:val="00E725C8"/>
    <w:rsid w:val="00E729C6"/>
    <w:rsid w:val="00E7359D"/>
    <w:rsid w:val="00E76F07"/>
    <w:rsid w:val="00E776E7"/>
    <w:rsid w:val="00E82B04"/>
    <w:rsid w:val="00E831BF"/>
    <w:rsid w:val="00E83730"/>
    <w:rsid w:val="00E8490E"/>
    <w:rsid w:val="00E85262"/>
    <w:rsid w:val="00E869DE"/>
    <w:rsid w:val="00E86B59"/>
    <w:rsid w:val="00E91058"/>
    <w:rsid w:val="00E94278"/>
    <w:rsid w:val="00E9713A"/>
    <w:rsid w:val="00E972A0"/>
    <w:rsid w:val="00EA219A"/>
    <w:rsid w:val="00EA524E"/>
    <w:rsid w:val="00EA7A63"/>
    <w:rsid w:val="00EA7C78"/>
    <w:rsid w:val="00EB4EB3"/>
    <w:rsid w:val="00EB6357"/>
    <w:rsid w:val="00EB6F2B"/>
    <w:rsid w:val="00EB7914"/>
    <w:rsid w:val="00EC0764"/>
    <w:rsid w:val="00EC3648"/>
    <w:rsid w:val="00EC387F"/>
    <w:rsid w:val="00EC5A46"/>
    <w:rsid w:val="00EC5FA6"/>
    <w:rsid w:val="00ED02B8"/>
    <w:rsid w:val="00ED0FBB"/>
    <w:rsid w:val="00ED14C6"/>
    <w:rsid w:val="00ED2D1C"/>
    <w:rsid w:val="00ED46E4"/>
    <w:rsid w:val="00ED4CD0"/>
    <w:rsid w:val="00ED4FF5"/>
    <w:rsid w:val="00ED627A"/>
    <w:rsid w:val="00EE0189"/>
    <w:rsid w:val="00EE071B"/>
    <w:rsid w:val="00EE191B"/>
    <w:rsid w:val="00EE5B16"/>
    <w:rsid w:val="00EE5EBD"/>
    <w:rsid w:val="00EE6258"/>
    <w:rsid w:val="00EE652C"/>
    <w:rsid w:val="00EE7566"/>
    <w:rsid w:val="00EF715F"/>
    <w:rsid w:val="00EF7364"/>
    <w:rsid w:val="00EF7689"/>
    <w:rsid w:val="00EF7C2C"/>
    <w:rsid w:val="00F052F2"/>
    <w:rsid w:val="00F0743C"/>
    <w:rsid w:val="00F07DA0"/>
    <w:rsid w:val="00F11ABA"/>
    <w:rsid w:val="00F132A7"/>
    <w:rsid w:val="00F13C9E"/>
    <w:rsid w:val="00F15935"/>
    <w:rsid w:val="00F2003C"/>
    <w:rsid w:val="00F2096B"/>
    <w:rsid w:val="00F210A5"/>
    <w:rsid w:val="00F22B49"/>
    <w:rsid w:val="00F22D20"/>
    <w:rsid w:val="00F24791"/>
    <w:rsid w:val="00F264F7"/>
    <w:rsid w:val="00F27468"/>
    <w:rsid w:val="00F27806"/>
    <w:rsid w:val="00F3031C"/>
    <w:rsid w:val="00F3125A"/>
    <w:rsid w:val="00F31FED"/>
    <w:rsid w:val="00F328C6"/>
    <w:rsid w:val="00F32EED"/>
    <w:rsid w:val="00F34262"/>
    <w:rsid w:val="00F37E08"/>
    <w:rsid w:val="00F419EE"/>
    <w:rsid w:val="00F43AFF"/>
    <w:rsid w:val="00F443EA"/>
    <w:rsid w:val="00F44B18"/>
    <w:rsid w:val="00F4663B"/>
    <w:rsid w:val="00F46791"/>
    <w:rsid w:val="00F46C7D"/>
    <w:rsid w:val="00F50F6C"/>
    <w:rsid w:val="00F51E82"/>
    <w:rsid w:val="00F52721"/>
    <w:rsid w:val="00F57263"/>
    <w:rsid w:val="00F61761"/>
    <w:rsid w:val="00F624B9"/>
    <w:rsid w:val="00F67DB2"/>
    <w:rsid w:val="00F710FD"/>
    <w:rsid w:val="00F713CA"/>
    <w:rsid w:val="00F71E22"/>
    <w:rsid w:val="00F72EE0"/>
    <w:rsid w:val="00F7308C"/>
    <w:rsid w:val="00F740EE"/>
    <w:rsid w:val="00F7680C"/>
    <w:rsid w:val="00F82FC7"/>
    <w:rsid w:val="00F87503"/>
    <w:rsid w:val="00F9037D"/>
    <w:rsid w:val="00F90B70"/>
    <w:rsid w:val="00F914FE"/>
    <w:rsid w:val="00F952F9"/>
    <w:rsid w:val="00F9595B"/>
    <w:rsid w:val="00F964DD"/>
    <w:rsid w:val="00F9729E"/>
    <w:rsid w:val="00FA00D4"/>
    <w:rsid w:val="00FA3106"/>
    <w:rsid w:val="00FA5DF7"/>
    <w:rsid w:val="00FA5F05"/>
    <w:rsid w:val="00FB013F"/>
    <w:rsid w:val="00FB5DE1"/>
    <w:rsid w:val="00FB784B"/>
    <w:rsid w:val="00FC1B8F"/>
    <w:rsid w:val="00FC21C6"/>
    <w:rsid w:val="00FC2768"/>
    <w:rsid w:val="00FC4011"/>
    <w:rsid w:val="00FC4A3B"/>
    <w:rsid w:val="00FC5546"/>
    <w:rsid w:val="00FC5A9B"/>
    <w:rsid w:val="00FC6C9E"/>
    <w:rsid w:val="00FC71E5"/>
    <w:rsid w:val="00FD059C"/>
    <w:rsid w:val="00FD0999"/>
    <w:rsid w:val="00FD2586"/>
    <w:rsid w:val="00FD5A5C"/>
    <w:rsid w:val="00FD5A76"/>
    <w:rsid w:val="00FD6D2A"/>
    <w:rsid w:val="00FD7724"/>
    <w:rsid w:val="00FD7E0B"/>
    <w:rsid w:val="00FE2386"/>
    <w:rsid w:val="00FE2960"/>
    <w:rsid w:val="00FE473E"/>
    <w:rsid w:val="00FE4FCB"/>
    <w:rsid w:val="00FE50EA"/>
    <w:rsid w:val="00FE534E"/>
    <w:rsid w:val="00FE53A8"/>
    <w:rsid w:val="00FE5ABF"/>
    <w:rsid w:val="00FE6092"/>
    <w:rsid w:val="00FE6AE5"/>
    <w:rsid w:val="00FE6C2B"/>
    <w:rsid w:val="00FF06C4"/>
    <w:rsid w:val="00FF1723"/>
    <w:rsid w:val="00FF1A87"/>
    <w:rsid w:val="00FF3BBA"/>
    <w:rsid w:val="00FF4075"/>
    <w:rsid w:val="00FF545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663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C401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C4011"/>
  </w:style>
  <w:style w:type="paragraph" w:styleId="Footer">
    <w:name w:val="footer"/>
    <w:basedOn w:val="Normal"/>
    <w:link w:val="FooterChar"/>
    <w:uiPriority w:val="99"/>
    <w:unhideWhenUsed/>
    <w:rsid w:val="00FC40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4011"/>
  </w:style>
  <w:style w:type="character" w:styleId="Hyperlink">
    <w:name w:val="Hyperlink"/>
    <w:basedOn w:val="DefaultParagraphFont"/>
    <w:uiPriority w:val="99"/>
    <w:unhideWhenUsed/>
    <w:rsid w:val="00F57263"/>
    <w:rPr>
      <w:color w:val="0000FF" w:themeColor="hyperlink"/>
      <w:u w:val="single"/>
    </w:rPr>
  </w:style>
  <w:style w:type="paragraph" w:styleId="BalloonText">
    <w:name w:val="Balloon Text"/>
    <w:basedOn w:val="Normal"/>
    <w:link w:val="BalloonTextChar"/>
    <w:uiPriority w:val="99"/>
    <w:semiHidden/>
    <w:unhideWhenUsed/>
    <w:rsid w:val="007F25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25F3"/>
    <w:rPr>
      <w:rFonts w:ascii="Tahoma" w:hAnsi="Tahoma" w:cs="Tahoma"/>
      <w:sz w:val="16"/>
      <w:szCs w:val="16"/>
    </w:rPr>
  </w:style>
  <w:style w:type="character" w:styleId="CommentReference">
    <w:name w:val="annotation reference"/>
    <w:basedOn w:val="DefaultParagraphFont"/>
    <w:uiPriority w:val="99"/>
    <w:semiHidden/>
    <w:unhideWhenUsed/>
    <w:rsid w:val="00B82607"/>
    <w:rPr>
      <w:sz w:val="16"/>
      <w:szCs w:val="16"/>
    </w:rPr>
  </w:style>
  <w:style w:type="paragraph" w:styleId="CommentText">
    <w:name w:val="annotation text"/>
    <w:basedOn w:val="Normal"/>
    <w:link w:val="CommentTextChar"/>
    <w:uiPriority w:val="99"/>
    <w:semiHidden/>
    <w:unhideWhenUsed/>
    <w:rsid w:val="00B82607"/>
    <w:pPr>
      <w:spacing w:line="240" w:lineRule="auto"/>
    </w:pPr>
    <w:rPr>
      <w:sz w:val="20"/>
      <w:szCs w:val="20"/>
    </w:rPr>
  </w:style>
  <w:style w:type="character" w:customStyle="1" w:styleId="CommentTextChar">
    <w:name w:val="Comment Text Char"/>
    <w:basedOn w:val="DefaultParagraphFont"/>
    <w:link w:val="CommentText"/>
    <w:uiPriority w:val="99"/>
    <w:semiHidden/>
    <w:rsid w:val="00B82607"/>
    <w:rPr>
      <w:sz w:val="20"/>
      <w:szCs w:val="20"/>
    </w:rPr>
  </w:style>
  <w:style w:type="paragraph" w:styleId="CommentSubject">
    <w:name w:val="annotation subject"/>
    <w:basedOn w:val="CommentText"/>
    <w:next w:val="CommentText"/>
    <w:link w:val="CommentSubjectChar"/>
    <w:uiPriority w:val="99"/>
    <w:semiHidden/>
    <w:unhideWhenUsed/>
    <w:rsid w:val="00B82607"/>
    <w:rPr>
      <w:b/>
      <w:bCs/>
    </w:rPr>
  </w:style>
  <w:style w:type="character" w:customStyle="1" w:styleId="CommentSubjectChar">
    <w:name w:val="Comment Subject Char"/>
    <w:basedOn w:val="CommentTextChar"/>
    <w:link w:val="CommentSubject"/>
    <w:uiPriority w:val="99"/>
    <w:semiHidden/>
    <w:rsid w:val="00B82607"/>
    <w:rPr>
      <w:b/>
      <w:bCs/>
    </w:rPr>
  </w:style>
  <w:style w:type="paragraph" w:styleId="ListParagraph">
    <w:name w:val="List Paragraph"/>
    <w:basedOn w:val="Normal"/>
    <w:uiPriority w:val="34"/>
    <w:qFormat/>
    <w:rsid w:val="00FB013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OHewlett@Dow.com" TargetMode="Externa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TLRogers@Dow.com" TargetMode="External"/><Relationship Id="rId12" Type="http://schemas.openxmlformats.org/officeDocument/2006/relationships/image" Target="media/image2.png"/><Relationship Id="rId17" Type="http://schemas.openxmlformats.org/officeDocument/2006/relationships/image" Target="media/image7.emf"/><Relationship Id="rId2" Type="http://schemas.openxmlformats.org/officeDocument/2006/relationships/styles" Target="styles.xml"/><Relationship Id="rId16" Type="http://schemas.openxmlformats.org/officeDocument/2006/relationships/image" Target="media/image6.em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emf"/><Relationship Id="rId5" Type="http://schemas.openxmlformats.org/officeDocument/2006/relationships/footnotes" Target="footnotes.xml"/><Relationship Id="rId15" Type="http://schemas.openxmlformats.org/officeDocument/2006/relationships/image" Target="media/image5.emf"/><Relationship Id="rId10" Type="http://schemas.openxmlformats.org/officeDocument/2006/relationships/hyperlink" Target="mailto:JTheuerkauf@Dow.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KMBalwinski@Dow.com" TargetMode="External"/><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999</Words>
  <Characters>5696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The Dow Chemical Company</Company>
  <LinksUpToDate>false</LinksUpToDate>
  <CharactersWithSpaces>6682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u375704</dc:creator>
  <cp:lastModifiedBy>u375704</cp:lastModifiedBy>
  <cp:revision>2</cp:revision>
  <dcterms:created xsi:type="dcterms:W3CDTF">2014-05-12T19:49:00Z</dcterms:created>
  <dcterms:modified xsi:type="dcterms:W3CDTF">2014-05-12T19:49:00Z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_Steward">
    <vt:lpwstr>Rogers T u375704</vt:lpwstr>
  </property>
  <property fmtid="{D5CDD505-2E9C-101B-9397-08002B2CF9AE}" pid="3" name="Update_Footer">
    <vt:lpwstr>No</vt:lpwstr>
  </property>
  <property fmtid="{D5CDD505-2E9C-101B-9397-08002B2CF9AE}" pid="4" name="Radio_Button">
    <vt:lpwstr>RadioButton2</vt:lpwstr>
  </property>
  <property fmtid="{D5CDD505-2E9C-101B-9397-08002B2CF9AE}" pid="5" name="Information_Classification">
    <vt:lpwstr/>
  </property>
  <property fmtid="{D5CDD505-2E9C-101B-9397-08002B2CF9AE}" pid="6" name="Record_Title_ID">
    <vt:lpwstr>72</vt:lpwstr>
  </property>
  <property fmtid="{D5CDD505-2E9C-101B-9397-08002B2CF9AE}" pid="7" name="Initial_Creation_Date">
    <vt:filetime>2014-05-05T18:01:58Z</vt:filetime>
  </property>
  <property fmtid="{D5CDD505-2E9C-101B-9397-08002B2CF9AE}" pid="8" name="Retention_Period_Start_Date">
    <vt:filetime>2014-05-12T19:48:38Z</vt:filetime>
  </property>
  <property fmtid="{D5CDD505-2E9C-101B-9397-08002B2CF9AE}" pid="9" name="Last_Reviewed_Date">
    <vt:lpwstr/>
  </property>
  <property fmtid="{D5CDD505-2E9C-101B-9397-08002B2CF9AE}" pid="10" name="Retention_Review_Frequency">
    <vt:lpwstr/>
  </property>
  <property fmtid="{D5CDD505-2E9C-101B-9397-08002B2CF9AE}" pid="11" name="lqminfo">
    <vt:i4>2</vt:i4>
  </property>
  <property fmtid="{D5CDD505-2E9C-101B-9397-08002B2CF9AE}" pid="12" name="lqmsess">
    <vt:lpwstr>1a44900f-0bef-49e9-8ab4-f35458194dfe</vt:lpwstr>
  </property>
</Properties>
</file>