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B59996" w14:textId="77777777" w:rsidR="00D03997" w:rsidRPr="008207F5" w:rsidRDefault="00D03997" w:rsidP="001512C4">
      <w:pPr>
        <w:spacing w:after="0"/>
        <w:rPr>
          <w:b/>
          <w:sz w:val="24"/>
          <w:szCs w:val="24"/>
        </w:rPr>
      </w:pPr>
      <w:r w:rsidRPr="008207F5">
        <w:rPr>
          <w:b/>
          <w:sz w:val="24"/>
          <w:szCs w:val="24"/>
        </w:rPr>
        <w:t>Design and Implementation of Whole-Cell Biosensors for Micronutrient Detection in Low Resource Environments</w:t>
      </w:r>
    </w:p>
    <w:p w14:paraId="61D1E38F" w14:textId="77777777" w:rsidR="000F25DF" w:rsidRDefault="000F25DF" w:rsidP="001512C4">
      <w:pPr>
        <w:spacing w:after="0"/>
      </w:pPr>
    </w:p>
    <w:p w14:paraId="4C13DD82" w14:textId="1339C3F2" w:rsidR="000E3585" w:rsidRDefault="00F10661" w:rsidP="00F10661">
      <w:pPr>
        <w:spacing w:after="0"/>
        <w:rPr>
          <w:rFonts w:cs="AdvOT63ee2d25.B"/>
          <w:sz w:val="24"/>
          <w:szCs w:val="24"/>
        </w:rPr>
      </w:pPr>
      <w:r w:rsidRPr="008207F5">
        <w:rPr>
          <w:rFonts w:cs="AdvOT63ee2d25.B"/>
          <w:sz w:val="24"/>
          <w:szCs w:val="24"/>
        </w:rPr>
        <w:t>Micronutrient deficiencies are a significant healthcare concern across the globe.  These conditions, though easily treated, remain a problem because they are often difficult to recognize and diagnose, requiring lab tests that are prohibitively expensive in both material and human resources for those in developing or remote areas.  As obligate consumers of the same micronutrients, bacteria possess cellular machinery to control intracellular micronutrient levels and have corresponding regulatory mechanisms to respond to varying concentrations in their environment.  We are developing a novel medical test based on bacterial sensors using designed genetic circuitry to direct existing or minimally engineered cellular machinery to trigger specific changes in color in response to defined micronutrient levels.  Such a test would be cheap, requi</w:t>
      </w:r>
      <w:r w:rsidR="000E3585">
        <w:rPr>
          <w:rFonts w:cs="AdvOT63ee2d25.B"/>
          <w:sz w:val="24"/>
          <w:szCs w:val="24"/>
        </w:rPr>
        <w:t>re</w:t>
      </w:r>
      <w:r w:rsidRPr="008207F5">
        <w:rPr>
          <w:rFonts w:cs="AdvOT63ee2d25.B"/>
          <w:sz w:val="24"/>
          <w:szCs w:val="24"/>
        </w:rPr>
        <w:t xml:space="preserve"> no complex equipment and minimal medical training to administer and interpret, allow on-site diagnosis of micronutrient deficiencies in the populations most at risk, </w:t>
      </w:r>
      <w:r w:rsidR="000E3585">
        <w:rPr>
          <w:rFonts w:cs="AdvOT63ee2d25.B"/>
          <w:sz w:val="24"/>
          <w:szCs w:val="24"/>
        </w:rPr>
        <w:t xml:space="preserve">and </w:t>
      </w:r>
      <w:r w:rsidRPr="008207F5">
        <w:rPr>
          <w:rFonts w:cs="AdvOT63ee2d25.B"/>
          <w:sz w:val="24"/>
          <w:szCs w:val="24"/>
        </w:rPr>
        <w:t>facilitat</w:t>
      </w:r>
      <w:r w:rsidR="000E3585">
        <w:rPr>
          <w:rFonts w:cs="AdvOT63ee2d25.B"/>
          <w:sz w:val="24"/>
          <w:szCs w:val="24"/>
        </w:rPr>
        <w:t>e</w:t>
      </w:r>
      <w:r w:rsidRPr="008207F5">
        <w:rPr>
          <w:rFonts w:cs="AdvOT63ee2d25.B"/>
          <w:sz w:val="24"/>
          <w:szCs w:val="24"/>
        </w:rPr>
        <w:t xml:space="preserve"> epidemiological studies of such deficiencies and assessment of the efficacy of intervention strategies on a population scale.  </w:t>
      </w:r>
    </w:p>
    <w:p w14:paraId="3125A808" w14:textId="77777777" w:rsidR="000E3585" w:rsidRDefault="000E3585" w:rsidP="00F10661">
      <w:pPr>
        <w:spacing w:after="0"/>
        <w:rPr>
          <w:rFonts w:cs="AdvOT63ee2d25.B"/>
          <w:sz w:val="24"/>
          <w:szCs w:val="24"/>
        </w:rPr>
      </w:pPr>
    </w:p>
    <w:p w14:paraId="0CAC12A7" w14:textId="36B203D2" w:rsidR="00F10661" w:rsidRPr="008207F5" w:rsidRDefault="00834FF9" w:rsidP="00F10661">
      <w:pPr>
        <w:spacing w:after="0"/>
        <w:rPr>
          <w:rFonts w:cs="AdvOT63ee2d25.B"/>
          <w:sz w:val="24"/>
          <w:szCs w:val="24"/>
        </w:rPr>
      </w:pPr>
      <w:r w:rsidRPr="008207F5">
        <w:rPr>
          <w:rFonts w:cs="AdvOT63ee2d25.B"/>
          <w:sz w:val="24"/>
          <w:szCs w:val="24"/>
        </w:rPr>
        <w:t>Towards this goal, w</w:t>
      </w:r>
      <w:r w:rsidR="00F10661" w:rsidRPr="008207F5">
        <w:rPr>
          <w:rFonts w:cs="AdvOT63ee2d25.B"/>
          <w:sz w:val="24"/>
          <w:szCs w:val="24"/>
        </w:rPr>
        <w:t>e present</w:t>
      </w:r>
      <w:r w:rsidR="00E721D8" w:rsidRPr="008207F5">
        <w:rPr>
          <w:rFonts w:cs="AdvOT63ee2d25.B"/>
          <w:sz w:val="24"/>
          <w:szCs w:val="24"/>
        </w:rPr>
        <w:t xml:space="preserve"> </w:t>
      </w:r>
      <w:r w:rsidR="00B36B43" w:rsidRPr="008207F5">
        <w:rPr>
          <w:rFonts w:cs="AdvOT63ee2d25.B"/>
          <w:sz w:val="24"/>
          <w:szCs w:val="24"/>
        </w:rPr>
        <w:t xml:space="preserve">work on a whole-cell biosensor for the detection of </w:t>
      </w:r>
      <w:r w:rsidR="002508AE" w:rsidRPr="008207F5">
        <w:rPr>
          <w:rFonts w:cs="AdvOT63ee2d25.B"/>
          <w:sz w:val="24"/>
          <w:szCs w:val="24"/>
        </w:rPr>
        <w:t>a micronutrient of medical</w:t>
      </w:r>
      <w:r w:rsidRPr="008207F5">
        <w:rPr>
          <w:rFonts w:cs="AdvOT63ee2d25.B"/>
          <w:sz w:val="24"/>
          <w:szCs w:val="24"/>
        </w:rPr>
        <w:t xml:space="preserve"> relevance</w:t>
      </w:r>
      <w:r w:rsidR="00B36B43" w:rsidRPr="008207F5">
        <w:rPr>
          <w:rFonts w:cs="AdvOT63ee2d25.B"/>
          <w:sz w:val="24"/>
          <w:szCs w:val="24"/>
        </w:rPr>
        <w:t xml:space="preserve">.  </w:t>
      </w:r>
      <w:r w:rsidR="00A23605" w:rsidRPr="008207F5">
        <w:rPr>
          <w:rFonts w:cs="AdvOT63ee2d25.B"/>
          <w:sz w:val="24"/>
          <w:szCs w:val="24"/>
        </w:rPr>
        <w:t>We</w:t>
      </w:r>
      <w:r w:rsidR="0071048D">
        <w:rPr>
          <w:rFonts w:cs="AdvOT63ee2d25.B"/>
          <w:sz w:val="24"/>
          <w:szCs w:val="24"/>
        </w:rPr>
        <w:t xml:space="preserve"> have</w:t>
      </w:r>
      <w:r w:rsidR="00A23605" w:rsidRPr="008207F5">
        <w:rPr>
          <w:rFonts w:cs="AdvOT63ee2d25.B"/>
          <w:sz w:val="24"/>
          <w:szCs w:val="24"/>
        </w:rPr>
        <w:t xml:space="preserve"> </w:t>
      </w:r>
      <w:r w:rsidRPr="008207F5">
        <w:rPr>
          <w:rFonts w:cs="AdvOT63ee2d25.B"/>
          <w:sz w:val="24"/>
          <w:szCs w:val="24"/>
        </w:rPr>
        <w:t>demonstrate</w:t>
      </w:r>
      <w:r w:rsidR="0071048D">
        <w:rPr>
          <w:rFonts w:cs="AdvOT63ee2d25.B"/>
          <w:sz w:val="24"/>
          <w:szCs w:val="24"/>
        </w:rPr>
        <w:t>d</w:t>
      </w:r>
      <w:r w:rsidR="00A23605" w:rsidRPr="008207F5">
        <w:rPr>
          <w:rFonts w:cs="AdvOT63ee2d25.B"/>
          <w:sz w:val="24"/>
          <w:szCs w:val="24"/>
        </w:rPr>
        <w:t xml:space="preserve"> </w:t>
      </w:r>
      <w:r w:rsidR="002508AE" w:rsidRPr="008207F5">
        <w:rPr>
          <w:rFonts w:cs="AdvOT63ee2d25.B"/>
          <w:sz w:val="24"/>
          <w:szCs w:val="24"/>
        </w:rPr>
        <w:t>a</w:t>
      </w:r>
      <w:r w:rsidR="00A23605" w:rsidRPr="008207F5">
        <w:rPr>
          <w:rFonts w:cs="AdvOT63ee2d25.B"/>
          <w:sz w:val="24"/>
          <w:szCs w:val="24"/>
        </w:rPr>
        <w:t xml:space="preserve"> multi-output circuit using two native</w:t>
      </w:r>
      <w:r w:rsidR="002508AE" w:rsidRPr="008207F5">
        <w:rPr>
          <w:rFonts w:cs="AdvOT63ee2d25.B"/>
          <w:sz w:val="24"/>
          <w:szCs w:val="24"/>
        </w:rPr>
        <w:t xml:space="preserve"> </w:t>
      </w:r>
      <w:r w:rsidR="002508AE" w:rsidRPr="008207F5">
        <w:rPr>
          <w:rFonts w:cs="AdvOT63ee2d25.B"/>
          <w:i/>
          <w:sz w:val="24"/>
          <w:szCs w:val="24"/>
        </w:rPr>
        <w:t>E. coli</w:t>
      </w:r>
      <w:r w:rsidR="002508AE" w:rsidRPr="008207F5">
        <w:rPr>
          <w:rFonts w:cs="AdvOT63ee2d25.B"/>
          <w:sz w:val="24"/>
          <w:szCs w:val="24"/>
        </w:rPr>
        <w:t xml:space="preserve"> transcription factors </w:t>
      </w:r>
      <w:r w:rsidR="0071048D">
        <w:rPr>
          <w:rFonts w:cs="AdvOT63ee2d25.B"/>
          <w:sz w:val="24"/>
          <w:szCs w:val="24"/>
        </w:rPr>
        <w:t>that</w:t>
      </w:r>
      <w:r w:rsidR="0071048D" w:rsidRPr="008207F5">
        <w:rPr>
          <w:rFonts w:cs="AdvOT63ee2d25.B"/>
          <w:sz w:val="24"/>
          <w:szCs w:val="24"/>
        </w:rPr>
        <w:t xml:space="preserve"> </w:t>
      </w:r>
      <w:r w:rsidR="002508AE" w:rsidRPr="008207F5">
        <w:rPr>
          <w:rFonts w:cs="AdvOT63ee2d25.B"/>
          <w:sz w:val="24"/>
          <w:szCs w:val="24"/>
        </w:rPr>
        <w:t>respond to micronutrient levels</w:t>
      </w:r>
      <w:r w:rsidR="0071048D">
        <w:rPr>
          <w:rFonts w:cs="AdvOT63ee2d25.B"/>
          <w:sz w:val="24"/>
          <w:szCs w:val="24"/>
        </w:rPr>
        <w:t>,</w:t>
      </w:r>
      <w:r w:rsidR="002508AE" w:rsidRPr="008207F5">
        <w:rPr>
          <w:rFonts w:cs="AdvOT63ee2d25.B"/>
          <w:sz w:val="24"/>
          <w:szCs w:val="24"/>
        </w:rPr>
        <w:t xml:space="preserve"> and</w:t>
      </w:r>
      <w:r w:rsidR="00B36B43" w:rsidRPr="008207F5">
        <w:rPr>
          <w:rFonts w:cs="AdvOT63ee2d25.B"/>
          <w:sz w:val="24"/>
          <w:szCs w:val="24"/>
        </w:rPr>
        <w:t xml:space="preserve"> </w:t>
      </w:r>
      <w:r w:rsidR="0071048D">
        <w:rPr>
          <w:rFonts w:cs="AdvOT63ee2d25.B"/>
          <w:sz w:val="24"/>
          <w:szCs w:val="24"/>
        </w:rPr>
        <w:t xml:space="preserve">we </w:t>
      </w:r>
      <w:r w:rsidR="009E7AE8" w:rsidRPr="008207F5">
        <w:rPr>
          <w:rFonts w:cs="AdvOT63ee2d25.B"/>
          <w:sz w:val="24"/>
          <w:szCs w:val="24"/>
        </w:rPr>
        <w:t>present strategies for</w:t>
      </w:r>
      <w:r w:rsidR="00B36B43" w:rsidRPr="008207F5">
        <w:rPr>
          <w:rFonts w:cs="AdvOT63ee2d25.B"/>
          <w:sz w:val="24"/>
          <w:szCs w:val="24"/>
        </w:rPr>
        <w:t xml:space="preserve"> eschewing sensitive detecting equipment for bioluminescent or fluorescent </w:t>
      </w:r>
      <w:r w:rsidRPr="008207F5">
        <w:rPr>
          <w:rFonts w:cs="AdvOT63ee2d25.B"/>
          <w:sz w:val="24"/>
          <w:szCs w:val="24"/>
        </w:rPr>
        <w:t xml:space="preserve">reporters </w:t>
      </w:r>
      <w:r w:rsidR="002508AE" w:rsidRPr="008207F5">
        <w:rPr>
          <w:rFonts w:cs="AdvOT63ee2d25.B"/>
          <w:sz w:val="24"/>
          <w:szCs w:val="24"/>
        </w:rPr>
        <w:t>while maintaining</w:t>
      </w:r>
      <w:r w:rsidR="00B36B43" w:rsidRPr="008207F5">
        <w:rPr>
          <w:rFonts w:cs="AdvOT63ee2d25.B"/>
          <w:sz w:val="24"/>
          <w:szCs w:val="24"/>
        </w:rPr>
        <w:t xml:space="preserve"> unambiguous</w:t>
      </w:r>
      <w:r w:rsidRPr="008207F5">
        <w:rPr>
          <w:rFonts w:cs="AdvOT63ee2d25.B"/>
          <w:sz w:val="24"/>
          <w:szCs w:val="24"/>
        </w:rPr>
        <w:t xml:space="preserve"> sensor</w:t>
      </w:r>
      <w:r w:rsidR="00B36B43" w:rsidRPr="008207F5">
        <w:rPr>
          <w:rFonts w:cs="AdvOT63ee2d25.B"/>
          <w:sz w:val="24"/>
          <w:szCs w:val="24"/>
        </w:rPr>
        <w:t xml:space="preserve"> </w:t>
      </w:r>
      <w:r w:rsidRPr="008207F5">
        <w:rPr>
          <w:rFonts w:cs="AdvOT63ee2d25.B"/>
          <w:sz w:val="24"/>
          <w:szCs w:val="24"/>
        </w:rPr>
        <w:t>output.</w:t>
      </w:r>
      <w:r w:rsidR="00C55BBC" w:rsidRPr="008207F5">
        <w:rPr>
          <w:rFonts w:cs="AdvOT63ee2d25.B"/>
          <w:sz w:val="24"/>
          <w:szCs w:val="24"/>
        </w:rPr>
        <w:t xml:space="preserve"> </w:t>
      </w:r>
      <w:r w:rsidR="000E3585">
        <w:rPr>
          <w:rFonts w:cs="AdvOT63ee2d25.B"/>
          <w:sz w:val="24"/>
          <w:szCs w:val="24"/>
        </w:rPr>
        <w:t>We have demonstrated visible, unambiguou</w:t>
      </w:r>
      <w:r w:rsidR="00747318">
        <w:rPr>
          <w:rFonts w:cs="AdvOT63ee2d25.B"/>
          <w:sz w:val="24"/>
          <w:szCs w:val="24"/>
        </w:rPr>
        <w:t>s changes in cell color</w:t>
      </w:r>
      <w:r w:rsidR="0071048D">
        <w:rPr>
          <w:rFonts w:cs="AdvOT63ee2d25.B"/>
          <w:sz w:val="24"/>
          <w:szCs w:val="24"/>
        </w:rPr>
        <w:t xml:space="preserve"> using this circuit</w:t>
      </w:r>
      <w:r w:rsidR="00295CCE">
        <w:rPr>
          <w:rFonts w:cs="AdvOT63ee2d25.B"/>
          <w:sz w:val="24"/>
          <w:szCs w:val="24"/>
        </w:rPr>
        <w:t xml:space="preserve">, </w:t>
      </w:r>
      <w:r w:rsidR="00F92CAA">
        <w:rPr>
          <w:rFonts w:cs="AdvOT63ee2d25.B"/>
          <w:sz w:val="24"/>
          <w:szCs w:val="24"/>
        </w:rPr>
        <w:t>and</w:t>
      </w:r>
      <w:r w:rsidR="00747318">
        <w:rPr>
          <w:rFonts w:cs="AdvOT63ee2d25.B"/>
          <w:sz w:val="24"/>
          <w:szCs w:val="24"/>
        </w:rPr>
        <w:t xml:space="preserve"> have investigated multiple configurations of the genetic circuitry needed to produce this color</w:t>
      </w:r>
      <w:r w:rsidR="0071048D">
        <w:rPr>
          <w:rFonts w:cs="AdvOT63ee2d25.B"/>
          <w:sz w:val="24"/>
          <w:szCs w:val="24"/>
        </w:rPr>
        <w:t xml:space="preserve">, manipulating strand orientation, gene order, </w:t>
      </w:r>
      <w:r w:rsidR="00A85A56">
        <w:rPr>
          <w:rFonts w:cs="AdvOT63ee2d25.B"/>
          <w:sz w:val="24"/>
          <w:szCs w:val="24"/>
        </w:rPr>
        <w:t>and</w:t>
      </w:r>
      <w:r w:rsidR="0071048D">
        <w:rPr>
          <w:rFonts w:cs="AdvOT63ee2d25.B"/>
          <w:sz w:val="24"/>
          <w:szCs w:val="24"/>
        </w:rPr>
        <w:t xml:space="preserve"> ribosomal binding sites</w:t>
      </w:r>
      <w:r w:rsidR="00747318">
        <w:rPr>
          <w:rFonts w:cs="AdvOT63ee2d25.B"/>
          <w:sz w:val="24"/>
          <w:szCs w:val="24"/>
        </w:rPr>
        <w:t>,</w:t>
      </w:r>
      <w:r w:rsidR="0071048D">
        <w:rPr>
          <w:rFonts w:cs="AdvOT63ee2d25.B"/>
          <w:sz w:val="24"/>
          <w:szCs w:val="24"/>
        </w:rPr>
        <w:t xml:space="preserve"> ultimately</w:t>
      </w:r>
      <w:r w:rsidR="00747318">
        <w:rPr>
          <w:rFonts w:cs="AdvOT63ee2d25.B"/>
          <w:sz w:val="24"/>
          <w:szCs w:val="24"/>
        </w:rPr>
        <w:t xml:space="preserve"> identifying improved designs that allow for more </w:t>
      </w:r>
      <w:r w:rsidR="0071048D">
        <w:rPr>
          <w:rFonts w:cs="AdvOT63ee2d25.B"/>
          <w:sz w:val="24"/>
          <w:szCs w:val="24"/>
        </w:rPr>
        <w:t>un</w:t>
      </w:r>
      <w:r w:rsidR="00747318">
        <w:rPr>
          <w:rFonts w:cs="AdvOT63ee2d25.B"/>
          <w:sz w:val="24"/>
          <w:szCs w:val="24"/>
        </w:rPr>
        <w:t xml:space="preserve">ambiguous coloration in a shorter period of time. We have also investigated the use of additional genetic manipulations to facilitate the tuning of the </w:t>
      </w:r>
      <w:r w:rsidR="0071048D">
        <w:rPr>
          <w:rFonts w:cs="AdvOT63ee2d25.B"/>
          <w:sz w:val="24"/>
          <w:szCs w:val="24"/>
        </w:rPr>
        <w:t>whole-cell biosensor to respond</w:t>
      </w:r>
      <w:r w:rsidR="00747318">
        <w:rPr>
          <w:rFonts w:cs="AdvOT63ee2d25.B"/>
          <w:sz w:val="24"/>
          <w:szCs w:val="24"/>
        </w:rPr>
        <w:t xml:space="preserve"> at the desired micronutrient levels.</w:t>
      </w:r>
      <w:bookmarkStart w:id="0" w:name="_GoBack"/>
      <w:bookmarkEnd w:id="0"/>
      <w:r w:rsidR="0071048D">
        <w:rPr>
          <w:rFonts w:cs="AdvOT63ee2d25.B"/>
          <w:sz w:val="24"/>
          <w:szCs w:val="24"/>
        </w:rPr>
        <w:t xml:space="preserve"> The resulting biosensor is capable of distinguishing conditions that are high</w:t>
      </w:r>
      <w:r w:rsidR="00F92CAA">
        <w:rPr>
          <w:rFonts w:cs="AdvOT63ee2d25.B"/>
          <w:sz w:val="24"/>
          <w:szCs w:val="24"/>
        </w:rPr>
        <w:t>, intermediate,</w:t>
      </w:r>
      <w:r w:rsidR="0071048D">
        <w:rPr>
          <w:rFonts w:cs="AdvOT63ee2d25.B"/>
          <w:sz w:val="24"/>
          <w:szCs w:val="24"/>
        </w:rPr>
        <w:t xml:space="preserve"> or low in our selected micronutrient, and is currently being engineered for </w:t>
      </w:r>
      <w:r w:rsidR="00E95FB9">
        <w:rPr>
          <w:rFonts w:cs="AdvOT63ee2d25.B"/>
          <w:sz w:val="24"/>
          <w:szCs w:val="24"/>
        </w:rPr>
        <w:t xml:space="preserve">expanded detectable </w:t>
      </w:r>
      <w:proofErr w:type="spellStart"/>
      <w:r w:rsidR="00E95FB9">
        <w:rPr>
          <w:rFonts w:cs="AdvOT63ee2d25.B"/>
          <w:sz w:val="24"/>
          <w:szCs w:val="24"/>
        </w:rPr>
        <w:t>analyte</w:t>
      </w:r>
      <w:proofErr w:type="spellEnd"/>
      <w:r w:rsidR="00E95FB9">
        <w:rPr>
          <w:rFonts w:cs="AdvOT63ee2d25.B"/>
          <w:sz w:val="24"/>
          <w:szCs w:val="24"/>
        </w:rPr>
        <w:t xml:space="preserve"> ranges and </w:t>
      </w:r>
      <w:r w:rsidR="0071048D">
        <w:rPr>
          <w:rFonts w:cs="AdvOT63ee2d25.B"/>
          <w:sz w:val="24"/>
          <w:szCs w:val="24"/>
        </w:rPr>
        <w:t>reduction to practice in a format ready for use in the field.</w:t>
      </w:r>
    </w:p>
    <w:p w14:paraId="405438AE" w14:textId="77777777" w:rsidR="00A625A8" w:rsidRDefault="00A625A8"/>
    <w:sectPr w:rsidR="00A625A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6D315A7"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dvOT63ee2d25.B">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tyczynski, Mark Philip-Walter">
    <w15:presenceInfo w15:providerId="AD" w15:userId="S-1-5-21-1177238915-2111687655-1060284298-4901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2C4"/>
    <w:rsid w:val="00015154"/>
    <w:rsid w:val="000E3585"/>
    <w:rsid w:val="000F25DF"/>
    <w:rsid w:val="001512C4"/>
    <w:rsid w:val="002508AE"/>
    <w:rsid w:val="00295CCE"/>
    <w:rsid w:val="002F3593"/>
    <w:rsid w:val="004E1F25"/>
    <w:rsid w:val="00674350"/>
    <w:rsid w:val="0071048D"/>
    <w:rsid w:val="00747318"/>
    <w:rsid w:val="008207F5"/>
    <w:rsid w:val="00834FF9"/>
    <w:rsid w:val="00852BF5"/>
    <w:rsid w:val="009E7AE8"/>
    <w:rsid w:val="00A06006"/>
    <w:rsid w:val="00A23605"/>
    <w:rsid w:val="00A625A8"/>
    <w:rsid w:val="00A85A56"/>
    <w:rsid w:val="00B36B43"/>
    <w:rsid w:val="00BA456C"/>
    <w:rsid w:val="00C55BBC"/>
    <w:rsid w:val="00C62027"/>
    <w:rsid w:val="00D03997"/>
    <w:rsid w:val="00D105B0"/>
    <w:rsid w:val="00E721D8"/>
    <w:rsid w:val="00E95FB9"/>
    <w:rsid w:val="00F10661"/>
    <w:rsid w:val="00F92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2D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2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35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3585"/>
    <w:rPr>
      <w:rFonts w:ascii="Segoe UI" w:hAnsi="Segoe UI" w:cs="Segoe UI"/>
      <w:sz w:val="18"/>
      <w:szCs w:val="18"/>
    </w:rPr>
  </w:style>
  <w:style w:type="character" w:styleId="CommentReference">
    <w:name w:val="annotation reference"/>
    <w:basedOn w:val="DefaultParagraphFont"/>
    <w:uiPriority w:val="99"/>
    <w:semiHidden/>
    <w:unhideWhenUsed/>
    <w:rsid w:val="0071048D"/>
    <w:rPr>
      <w:sz w:val="16"/>
      <w:szCs w:val="16"/>
    </w:rPr>
  </w:style>
  <w:style w:type="paragraph" w:styleId="CommentText">
    <w:name w:val="annotation text"/>
    <w:basedOn w:val="Normal"/>
    <w:link w:val="CommentTextChar"/>
    <w:uiPriority w:val="99"/>
    <w:semiHidden/>
    <w:unhideWhenUsed/>
    <w:rsid w:val="0071048D"/>
    <w:pPr>
      <w:spacing w:line="240" w:lineRule="auto"/>
    </w:pPr>
    <w:rPr>
      <w:sz w:val="20"/>
      <w:szCs w:val="20"/>
    </w:rPr>
  </w:style>
  <w:style w:type="character" w:customStyle="1" w:styleId="CommentTextChar">
    <w:name w:val="Comment Text Char"/>
    <w:basedOn w:val="DefaultParagraphFont"/>
    <w:link w:val="CommentText"/>
    <w:uiPriority w:val="99"/>
    <w:semiHidden/>
    <w:rsid w:val="0071048D"/>
    <w:rPr>
      <w:sz w:val="20"/>
      <w:szCs w:val="20"/>
    </w:rPr>
  </w:style>
  <w:style w:type="paragraph" w:styleId="CommentSubject">
    <w:name w:val="annotation subject"/>
    <w:basedOn w:val="CommentText"/>
    <w:next w:val="CommentText"/>
    <w:link w:val="CommentSubjectChar"/>
    <w:uiPriority w:val="99"/>
    <w:semiHidden/>
    <w:unhideWhenUsed/>
    <w:rsid w:val="0071048D"/>
    <w:rPr>
      <w:b/>
      <w:bCs/>
    </w:rPr>
  </w:style>
  <w:style w:type="character" w:customStyle="1" w:styleId="CommentSubjectChar">
    <w:name w:val="Comment Subject Char"/>
    <w:basedOn w:val="CommentTextChar"/>
    <w:link w:val="CommentSubject"/>
    <w:uiPriority w:val="99"/>
    <w:semiHidden/>
    <w:rsid w:val="0071048D"/>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2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35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3585"/>
    <w:rPr>
      <w:rFonts w:ascii="Segoe UI" w:hAnsi="Segoe UI" w:cs="Segoe UI"/>
      <w:sz w:val="18"/>
      <w:szCs w:val="18"/>
    </w:rPr>
  </w:style>
  <w:style w:type="character" w:styleId="CommentReference">
    <w:name w:val="annotation reference"/>
    <w:basedOn w:val="DefaultParagraphFont"/>
    <w:uiPriority w:val="99"/>
    <w:semiHidden/>
    <w:unhideWhenUsed/>
    <w:rsid w:val="0071048D"/>
    <w:rPr>
      <w:sz w:val="16"/>
      <w:szCs w:val="16"/>
    </w:rPr>
  </w:style>
  <w:style w:type="paragraph" w:styleId="CommentText">
    <w:name w:val="annotation text"/>
    <w:basedOn w:val="Normal"/>
    <w:link w:val="CommentTextChar"/>
    <w:uiPriority w:val="99"/>
    <w:semiHidden/>
    <w:unhideWhenUsed/>
    <w:rsid w:val="0071048D"/>
    <w:pPr>
      <w:spacing w:line="240" w:lineRule="auto"/>
    </w:pPr>
    <w:rPr>
      <w:sz w:val="20"/>
      <w:szCs w:val="20"/>
    </w:rPr>
  </w:style>
  <w:style w:type="character" w:customStyle="1" w:styleId="CommentTextChar">
    <w:name w:val="Comment Text Char"/>
    <w:basedOn w:val="DefaultParagraphFont"/>
    <w:link w:val="CommentText"/>
    <w:uiPriority w:val="99"/>
    <w:semiHidden/>
    <w:rsid w:val="0071048D"/>
    <w:rPr>
      <w:sz w:val="20"/>
      <w:szCs w:val="20"/>
    </w:rPr>
  </w:style>
  <w:style w:type="paragraph" w:styleId="CommentSubject">
    <w:name w:val="annotation subject"/>
    <w:basedOn w:val="CommentText"/>
    <w:next w:val="CommentText"/>
    <w:link w:val="CommentSubjectChar"/>
    <w:uiPriority w:val="99"/>
    <w:semiHidden/>
    <w:unhideWhenUsed/>
    <w:rsid w:val="0071048D"/>
    <w:rPr>
      <w:b/>
      <w:bCs/>
    </w:rPr>
  </w:style>
  <w:style w:type="character" w:customStyle="1" w:styleId="CommentSubjectChar">
    <w:name w:val="Comment Subject Char"/>
    <w:basedOn w:val="CommentTextChar"/>
    <w:link w:val="CommentSubject"/>
    <w:uiPriority w:val="99"/>
    <w:semiHidden/>
    <w:rsid w:val="007104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microsoft.com/office/2011/relationships/people" Target="peop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371</Words>
  <Characters>2120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Georgia Institute of Technology</Company>
  <LinksUpToDate>false</LinksUpToDate>
  <CharactersWithSpaces>2487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School of Chemical &amp; Biomolecular Engineering</dc:creator>
  <cp:lastModifiedBy>School of Chemical &amp; Biomolecular Engineering</cp:lastModifiedBy>
  <cp:revision>2</cp:revision>
  <dcterms:created xsi:type="dcterms:W3CDTF">2014-05-12T23:19:00Z</dcterms:created>
  <dcterms:modified xsi:type="dcterms:W3CDTF">2014-05-12T23:19:00Z</dcterms:modified>
</cp:coreProperties>
</file>