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12F" w:rsidRDefault="00F079A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Analysis and closure verification of multiphase turbulence models for gas -liquid flows</w:t>
      </w:r>
    </w:p>
    <w:p w:rsidR="0050612F" w:rsidRDefault="0050612F">
      <w:pPr>
        <w:jc w:val="both"/>
        <w:rPr>
          <w:b/>
          <w:bCs/>
        </w:rPr>
      </w:pPr>
    </w:p>
    <w:p w:rsidR="0050612F" w:rsidRDefault="00F079A5">
      <w:pPr>
        <w:jc w:val="center"/>
        <w:rPr>
          <w:bCs/>
          <w:vertAlign w:val="superscript"/>
          <w:lang w:val="it-IT"/>
        </w:rPr>
      </w:pPr>
      <w:r>
        <w:rPr>
          <w:bCs/>
          <w:lang w:val="it-IT"/>
        </w:rPr>
        <w:t>N. Panicker</w:t>
      </w:r>
      <w:r>
        <w:rPr>
          <w:bCs/>
          <w:vertAlign w:val="superscript"/>
          <w:lang w:val="it-IT"/>
        </w:rPr>
        <w:t>1</w:t>
      </w:r>
      <w:r>
        <w:rPr>
          <w:bCs/>
          <w:lang w:val="it-IT"/>
        </w:rPr>
        <w:t>, A. Passalacqua</w:t>
      </w:r>
      <w:r>
        <w:rPr>
          <w:bCs/>
          <w:vertAlign w:val="superscript"/>
          <w:lang w:val="it-IT"/>
        </w:rPr>
        <w:t>1,2</w:t>
      </w:r>
      <w:r>
        <w:rPr>
          <w:bCs/>
          <w:lang w:val="it-IT"/>
        </w:rPr>
        <w:t>, R. O. Fox</w:t>
      </w:r>
      <w:r>
        <w:rPr>
          <w:bCs/>
          <w:vertAlign w:val="superscript"/>
          <w:lang w:val="it-IT"/>
        </w:rPr>
        <w:t>2</w:t>
      </w:r>
    </w:p>
    <w:p w:rsidR="0050612F" w:rsidRDefault="00F079A5">
      <w:pPr>
        <w:spacing w:after="0"/>
        <w:jc w:val="center"/>
        <w:rPr>
          <w:bCs/>
        </w:rPr>
      </w:pPr>
      <w:r>
        <w:rPr>
          <w:bCs/>
          <w:vertAlign w:val="superscript"/>
        </w:rPr>
        <w:t>1</w:t>
      </w:r>
      <w:r>
        <w:rPr>
          <w:bCs/>
        </w:rPr>
        <w:t xml:space="preserve"> Department of Mechanical Engineering, Iowa State University, Ames, Iowa, USA</w:t>
      </w:r>
    </w:p>
    <w:p w:rsidR="0050612F" w:rsidRDefault="00F079A5">
      <w:pPr>
        <w:spacing w:after="0"/>
        <w:jc w:val="center"/>
        <w:rPr>
          <w:bCs/>
        </w:rPr>
      </w:pPr>
      <w:r>
        <w:rPr>
          <w:bCs/>
          <w:vertAlign w:val="superscript"/>
        </w:rPr>
        <w:t>2</w:t>
      </w:r>
      <w:r>
        <w:rPr>
          <w:bCs/>
        </w:rPr>
        <w:t xml:space="preserve"> Department of Chemical and Biological Engineering, Iowa State University, Ames, Iowa, USA</w:t>
      </w:r>
    </w:p>
    <w:p w:rsidR="0050612F" w:rsidRDefault="0050612F">
      <w:pPr>
        <w:jc w:val="both"/>
        <w:rPr>
          <w:b/>
          <w:bCs/>
        </w:rPr>
      </w:pPr>
    </w:p>
    <w:p w:rsidR="0050612F" w:rsidRDefault="00F079A5">
      <w:pPr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>Abstract</w:t>
      </w:r>
    </w:p>
    <w:p w:rsidR="0050612F" w:rsidRDefault="00F079A5">
      <w:pPr>
        <w:pStyle w:val="PreformattedTex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Disperse turbulent gas-liquid flows are often encountered in chemical processes, hence an accurate prediction the turbulent features of these flows is very important to facilitate the design, the optimization and the scale-up of equipment operating with these flows. </w:t>
      </w:r>
    </w:p>
    <w:p w:rsidR="0050612F" w:rsidRDefault="00F079A5">
      <w:pPr>
        <w:pStyle w:val="PreformattedTe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In the present study we propose and investigate two types of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k –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ω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turbulence models: a two-equation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k –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ω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model for the fluid phase, modified to account for the presence of the disperse gas phase by means of source terms in the equations of the model, and a four-equation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k –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ω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model, which accounts for a detailed description of the exchange of turbulent quantities between the phases. Both high-Reynolds and low-Reynolds number forms are discussed. </w:t>
      </w:r>
    </w:p>
    <w:p w:rsidR="0050612F" w:rsidRDefault="00F079A5">
      <w:pPr>
        <w:pStyle w:val="PreformattedText"/>
        <w:jc w:val="both"/>
        <w:rPr>
          <w:rFonts w:ascii="Liberation Serif" w:hAnsi="Liberation Serif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values of the model coefficients is determined by means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meso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-scale direct numerical simulations (Fox, 2014), and the dependency of the model coefficients on the flow conditions and on the loading of dispersed phase is investigated. </w:t>
      </w:r>
      <w:r>
        <w:rPr>
          <w:rFonts w:ascii="Liberation Serif" w:hAnsi="Liberation Serif" w:cs="Times New Roman"/>
          <w:color w:val="000000"/>
          <w:sz w:val="24"/>
          <w:szCs w:val="24"/>
        </w:rPr>
        <w:t xml:space="preserve">The computational domain for </w:t>
      </w:r>
      <w:proofErr w:type="spellStart"/>
      <w:r>
        <w:rPr>
          <w:rFonts w:ascii="Liberation Serif" w:hAnsi="Liberation Serif" w:cs="Times New Roman"/>
          <w:color w:val="000000"/>
          <w:sz w:val="24"/>
          <w:szCs w:val="24"/>
        </w:rPr>
        <w:t>meso</w:t>
      </w:r>
      <w:proofErr w:type="spellEnd"/>
      <w:r>
        <w:rPr>
          <w:rFonts w:ascii="Liberation Serif" w:hAnsi="Liberation Serif" w:cs="Times New Roman"/>
          <w:color w:val="000000"/>
          <w:sz w:val="24"/>
          <w:szCs w:val="24"/>
        </w:rPr>
        <w:t>-scale direct numerical simulation is constituted by a three-dimensional column with squared cross-section. Periodic boundary conditions are applied to the sides of the column to avoid wall effects, while air is fed at the bottom, and pressure is fixed at the top.</w:t>
      </w:r>
    </w:p>
    <w:p w:rsidR="0050612F" w:rsidRDefault="00F079A5">
      <w:pPr>
        <w:pStyle w:val="PreformattedTe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predictive capabilities of the models are investigated considering both a bubble column flow and a multiphase turbulent vertical pipe flow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Monrós-Andreu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et al., 2013;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Troshko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and Hassan, 2001,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Pfleger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et al., 2001). The numerical results obtained with the proposed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k –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ω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models are compared to experimental data, and to the numerical predictions obtained with established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k – 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models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Lahey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Jr., 2005;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Behzadi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et al., 2004).</w:t>
      </w:r>
    </w:p>
    <w:p w:rsidR="0050612F" w:rsidRDefault="0050612F">
      <w:pPr>
        <w:pStyle w:val="PreformattedTex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0612F" w:rsidRPr="00F079A5" w:rsidRDefault="00F079A5">
      <w:pPr>
        <w:pStyle w:val="PreformattedText"/>
        <w:jc w:val="both"/>
        <w:rPr>
          <w:rFonts w:ascii="Times New Roman" w:hAnsi="Times New Roman"/>
          <w:b/>
          <w:color w:val="000000"/>
          <w:sz w:val="24"/>
          <w:szCs w:val="24"/>
          <w:lang w:val="it-IT"/>
        </w:rPr>
      </w:pPr>
      <w:proofErr w:type="spellStart"/>
      <w:r w:rsidRPr="00F079A5">
        <w:rPr>
          <w:rFonts w:ascii="Times New Roman" w:hAnsi="Times New Roman"/>
          <w:b/>
          <w:color w:val="000000"/>
          <w:sz w:val="24"/>
          <w:szCs w:val="24"/>
          <w:lang w:val="it-IT"/>
        </w:rPr>
        <w:t>References</w:t>
      </w:r>
      <w:proofErr w:type="spellEnd"/>
    </w:p>
    <w:p w:rsidR="0050612F" w:rsidRPr="00F079A5" w:rsidRDefault="0050612F">
      <w:pPr>
        <w:pStyle w:val="PreformattedText"/>
        <w:jc w:val="both"/>
        <w:rPr>
          <w:lang w:val="it-IT"/>
        </w:rPr>
      </w:pPr>
    </w:p>
    <w:p w:rsidR="0050612F" w:rsidRDefault="00F079A5">
      <w:pPr>
        <w:pStyle w:val="Bibliography1"/>
      </w:pPr>
      <w:proofErr w:type="spellStart"/>
      <w:r w:rsidRPr="00F079A5">
        <w:rPr>
          <w:lang w:val="it-IT"/>
        </w:rPr>
        <w:t>Behzadi</w:t>
      </w:r>
      <w:proofErr w:type="spellEnd"/>
      <w:r w:rsidRPr="00F079A5">
        <w:rPr>
          <w:lang w:val="it-IT"/>
        </w:rPr>
        <w:t xml:space="preserve">, A., Issa, R.I., Rusche, H., 2004. </w:t>
      </w:r>
      <w:r>
        <w:t xml:space="preserve">Modelling of dispersed bubble and droplet flow at high phase fractions. Chem. Eng. Sci. 59, 759–770. </w:t>
      </w:r>
    </w:p>
    <w:p w:rsidR="0050612F" w:rsidRDefault="00F079A5">
      <w:pPr>
        <w:pStyle w:val="Bibliography1"/>
      </w:pPr>
      <w:r>
        <w:t xml:space="preserve">Fox, R.O., 2014. On multiphase turbulence models for collisional fluid–particle flows. J. Fluid Mech. 742, 368–424. </w:t>
      </w:r>
    </w:p>
    <w:p w:rsidR="0050612F" w:rsidRDefault="00F079A5">
      <w:pPr>
        <w:pStyle w:val="Bibliography1"/>
      </w:pPr>
      <w:proofErr w:type="spellStart"/>
      <w:r>
        <w:t>Lahey</w:t>
      </w:r>
      <w:proofErr w:type="spellEnd"/>
      <w:r>
        <w:t xml:space="preserve"> Jr., R.T., 2005. The simulation of multidimensional multiphase flows. </w:t>
      </w:r>
      <w:proofErr w:type="spellStart"/>
      <w:r>
        <w:t>Nucl</w:t>
      </w:r>
      <w:proofErr w:type="spellEnd"/>
      <w:r>
        <w:t xml:space="preserve">. Eng. </w:t>
      </w:r>
      <w:proofErr w:type="gramStart"/>
      <w:r>
        <w:t>Des.,</w:t>
      </w:r>
      <w:proofErr w:type="gramEnd"/>
      <w:r>
        <w:t xml:space="preserve"> Festschrift Edition Celebrating the 65th Birthday of Prof. Richard T. </w:t>
      </w:r>
      <w:proofErr w:type="spellStart"/>
      <w:r>
        <w:t>Lahey</w:t>
      </w:r>
      <w:proofErr w:type="spellEnd"/>
      <w:r>
        <w:t>, Jr. 20th Anniversary of Biosensors and Bioelectronics £</w:t>
      </w:r>
      <w:proofErr w:type="spellStart"/>
      <w:r>
        <w:t>rd</w:t>
      </w:r>
      <w:proofErr w:type="spellEnd"/>
      <w:r>
        <w:t xml:space="preserve"> International Symposium on Two Phase Modelling 235, 1043–1060. </w:t>
      </w:r>
    </w:p>
    <w:p w:rsidR="0050612F" w:rsidRDefault="00F079A5">
      <w:pPr>
        <w:pStyle w:val="Bibliography1"/>
      </w:pPr>
      <w:proofErr w:type="spellStart"/>
      <w:r>
        <w:t>Monrós-Andreu</w:t>
      </w:r>
      <w:proofErr w:type="spellEnd"/>
      <w:r>
        <w:t xml:space="preserve">, G., </w:t>
      </w:r>
      <w:proofErr w:type="spellStart"/>
      <w:r>
        <w:t>Chiva</w:t>
      </w:r>
      <w:proofErr w:type="spellEnd"/>
      <w:r>
        <w:t xml:space="preserve">, S., </w:t>
      </w:r>
      <w:proofErr w:type="spellStart"/>
      <w:r>
        <w:t>Martínez</w:t>
      </w:r>
      <w:proofErr w:type="spellEnd"/>
      <w:r>
        <w:t xml:space="preserve">-Cuenca, R., </w:t>
      </w:r>
      <w:proofErr w:type="spellStart"/>
      <w:r>
        <w:t>Torró</w:t>
      </w:r>
      <w:proofErr w:type="spellEnd"/>
      <w:r>
        <w:t xml:space="preserve">, S., </w:t>
      </w:r>
      <w:proofErr w:type="spellStart"/>
      <w:r>
        <w:t>Juliá</w:t>
      </w:r>
      <w:proofErr w:type="spellEnd"/>
      <w:r>
        <w:t xml:space="preserve">, J.E., Hernández, L., </w:t>
      </w:r>
      <w:proofErr w:type="spellStart"/>
      <w:r>
        <w:t>Mondragón</w:t>
      </w:r>
      <w:proofErr w:type="spellEnd"/>
      <w:r>
        <w:t xml:space="preserve">, R., 2013. Water temperature effect on upward air-water flow in a vertical pipe: Local measurements database using four-sensor conductivity probes and LDA. EPJ Web Conf. 45, 01105. </w:t>
      </w:r>
    </w:p>
    <w:p w:rsidR="0050612F" w:rsidRDefault="00F079A5">
      <w:pPr>
        <w:pStyle w:val="Bibliography1"/>
        <w:jc w:val="both"/>
        <w:rPr>
          <w:color w:val="000000"/>
        </w:rPr>
      </w:pPr>
      <w:proofErr w:type="spellStart"/>
      <w:r>
        <w:rPr>
          <w:color w:val="000000"/>
        </w:rPr>
        <w:t>Pfleger</w:t>
      </w:r>
      <w:proofErr w:type="spellEnd"/>
      <w:r>
        <w:rPr>
          <w:color w:val="000000"/>
        </w:rPr>
        <w:t xml:space="preserve">, D., Gomes, S., Gilbert, N., Wagner, H.G., 2001. Hydrodynamic simulations of laboratory scale bubble columns fundamental studies of the Eulerian – Eulerian modelling approach. Chemical </w:t>
      </w:r>
      <w:r>
        <w:rPr>
          <w:color w:val="000000"/>
        </w:rPr>
        <w:lastRenderedPageBreak/>
        <w:t xml:space="preserve">Engineering Science 54, 5091–5099. </w:t>
      </w:r>
    </w:p>
    <w:p w:rsidR="0050612F" w:rsidRDefault="00F079A5">
      <w:pPr>
        <w:pStyle w:val="Bibliography1"/>
        <w:jc w:val="both"/>
        <w:rPr>
          <w:color w:val="000000"/>
        </w:rPr>
      </w:pPr>
      <w:proofErr w:type="spellStart"/>
      <w:r>
        <w:rPr>
          <w:color w:val="000000"/>
        </w:rPr>
        <w:t>Troshko</w:t>
      </w:r>
      <w:proofErr w:type="spellEnd"/>
      <w:r>
        <w:rPr>
          <w:color w:val="000000"/>
        </w:rPr>
        <w:t xml:space="preserve">, A.A., Hassan, Y.A., 2001. A two-equation turbulence model of turbulent bubbly flows. Int. J. </w:t>
      </w:r>
      <w:proofErr w:type="spellStart"/>
      <w:r>
        <w:rPr>
          <w:color w:val="000000"/>
        </w:rPr>
        <w:t>Multiph</w:t>
      </w:r>
      <w:proofErr w:type="spellEnd"/>
      <w:r>
        <w:rPr>
          <w:color w:val="000000"/>
        </w:rPr>
        <w:t xml:space="preserve">. Flow 27, 1965–2000. </w:t>
      </w:r>
    </w:p>
    <w:p w:rsidR="0050612F" w:rsidRDefault="0050612F"/>
    <w:sectPr w:rsidR="0050612F">
      <w:pgSz w:w="12240" w:h="15840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 Mono">
    <w:panose1 w:val="020B0609030804020204"/>
    <w:charset w:val="00"/>
    <w:family w:val="modern"/>
    <w:pitch w:val="fixed"/>
    <w:sig w:usb0="E60026FF" w:usb1="D200F9FB" w:usb2="02000028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0612F"/>
    <w:rsid w:val="0050612F"/>
    <w:rsid w:val="007E07E7"/>
    <w:rsid w:val="00F0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1791BE-520C-41E3-8D18-9936AD14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  <w:spacing w:line="252" w:lineRule="auto"/>
    </w:pPr>
    <w:rPr>
      <w:rFonts w:ascii="Times New Roman" w:eastAsia="Droid Sans Fallback" w:hAnsi="Times New Roman" w:cs="FreeSans"/>
      <w:color w:val="00000A"/>
      <w:sz w:val="24"/>
      <w:szCs w:val="24"/>
      <w:lang w:eastAsia="zh-CN" w:bidi="hi-IN"/>
    </w:rPr>
  </w:style>
  <w:style w:type="paragraph" w:styleId="Heading1">
    <w:name w:val="heading 1"/>
    <w:basedOn w:val="Heading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pPr>
      <w:outlineLvl w:val="1"/>
    </w:pPr>
    <w:rPr>
      <w:b/>
      <w:bCs/>
      <w:i/>
      <w:iCs/>
    </w:rPr>
  </w:style>
  <w:style w:type="paragraph" w:styleId="Heading3">
    <w:name w:val="heading 3"/>
    <w:basedOn w:val="Heading"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reformattedText">
    <w:name w:val="Preformatted Text"/>
    <w:basedOn w:val="Normal"/>
    <w:pPr>
      <w:spacing w:after="0"/>
    </w:pPr>
    <w:rPr>
      <w:rFonts w:ascii="DejaVu Sans Mono" w:hAnsi="DejaVu Sans Mono"/>
      <w:sz w:val="20"/>
      <w:szCs w:val="20"/>
    </w:rPr>
  </w:style>
  <w:style w:type="paragraph" w:customStyle="1" w:styleId="Bibliography1">
    <w:name w:val="Bibliography 1"/>
    <w:basedOn w:val="Index"/>
    <w:pPr>
      <w:spacing w:after="0" w:line="240" w:lineRule="atLeast"/>
      <w:ind w:left="720" w:hanging="720"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pPr>
      <w:jc w:val="center"/>
    </w:pPr>
    <w:rPr>
      <w:b/>
      <w:bCs/>
      <w:sz w:val="36"/>
      <w:szCs w:val="36"/>
    </w:rPr>
  </w:style>
  <w:style w:type="paragraph" w:styleId="Subtitle">
    <w:name w:val="Subtitle"/>
    <w:basedOn w:val="Heading"/>
    <w:pPr>
      <w:jc w:val="center"/>
    </w:pPr>
    <w:rPr>
      <w:i/>
      <w:iCs/>
    </w:rPr>
  </w:style>
  <w:style w:type="paragraph" w:styleId="Bibliography">
    <w:name w:val="Bibliography"/>
    <w:basedOn w:val="Normal"/>
    <w:pPr>
      <w:tabs>
        <w:tab w:val="left" w:pos="384"/>
      </w:tabs>
      <w:spacing w:after="0" w:line="100" w:lineRule="atLeast"/>
      <w:ind w:left="384" w:hanging="384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Alberto Passalacqua</cp:lastModifiedBy>
  <cp:revision>13</cp:revision>
  <dcterms:created xsi:type="dcterms:W3CDTF">2014-05-10T14:23:00Z</dcterms:created>
  <dcterms:modified xsi:type="dcterms:W3CDTF">2014-05-13T18:50:00Z</dcterms:modified>
</cp:coreProperties>
</file>