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FC" w:rsidRDefault="002D25D7" w:rsidP="0041106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Embryonic stem cells (ESCs) show great potential for use in tissue engineering, regenerative medicine, and drug screening applications</w:t>
      </w:r>
      <w:r w:rsidR="00374486">
        <w:rPr>
          <w:rFonts w:ascii="Times New Roman" w:hAnsi="Times New Roman" w:cs="Times New Roman"/>
          <w:sz w:val="24"/>
          <w:szCs w:val="24"/>
        </w:rPr>
        <w:t xml:space="preserve"> due to their ability to differentiate into cells from all germ lineages</w:t>
      </w:r>
      <w:r>
        <w:rPr>
          <w:rFonts w:ascii="Times New Roman" w:hAnsi="Times New Roman" w:cs="Times New Roman"/>
          <w:sz w:val="24"/>
          <w:szCs w:val="24"/>
        </w:rPr>
        <w:t>. Differentiation of ESCs is commonly initiated through the formation of t</w:t>
      </w:r>
      <w:r w:rsidR="00374486">
        <w:rPr>
          <w:rFonts w:ascii="Times New Roman" w:hAnsi="Times New Roman" w:cs="Times New Roman"/>
          <w:sz w:val="24"/>
          <w:szCs w:val="24"/>
        </w:rPr>
        <w:t>hree-dimensional cell aggregates</w:t>
      </w:r>
      <w:r w:rsidR="00427F3E">
        <w:rPr>
          <w:rFonts w:ascii="Times New Roman" w:hAnsi="Times New Roman" w:cs="Times New Roman"/>
          <w:sz w:val="24"/>
          <w:szCs w:val="24"/>
        </w:rPr>
        <w:t xml:space="preserve"> called embryoid bodies (EBs), which differentiate to generate primitive endoderm, ectoderm, and mesoderm lineages</w:t>
      </w:r>
      <w:r w:rsidR="00C566B6">
        <w:rPr>
          <w:rFonts w:ascii="Times New Roman" w:hAnsi="Times New Roman" w:cs="Times New Roman"/>
          <w:sz w:val="24"/>
          <w:szCs w:val="24"/>
        </w:rPr>
        <w:t xml:space="preserve"> and</w:t>
      </w:r>
      <w:r w:rsidR="0048708B">
        <w:rPr>
          <w:rFonts w:ascii="Times New Roman" w:hAnsi="Times New Roman" w:cs="Times New Roman"/>
          <w:sz w:val="24"/>
          <w:szCs w:val="24"/>
        </w:rPr>
        <w:t xml:space="preserve"> </w:t>
      </w:r>
      <w:r w:rsidR="00427F3E">
        <w:rPr>
          <w:rFonts w:ascii="Times New Roman" w:hAnsi="Times New Roman" w:cs="Times New Roman"/>
          <w:sz w:val="24"/>
          <w:szCs w:val="24"/>
        </w:rPr>
        <w:t>recapitulate many of the morphogenic events of</w:t>
      </w:r>
      <w:r w:rsidR="006950FB">
        <w:rPr>
          <w:rFonts w:ascii="Times New Roman" w:hAnsi="Times New Roman" w:cs="Times New Roman"/>
          <w:sz w:val="24"/>
          <w:szCs w:val="24"/>
        </w:rPr>
        <w:t xml:space="preserve"> early development. </w:t>
      </w:r>
      <w:r w:rsidR="00B35190">
        <w:rPr>
          <w:rFonts w:ascii="Times New Roman" w:hAnsi="Times New Roman" w:cs="Times New Roman"/>
          <w:sz w:val="24"/>
          <w:szCs w:val="24"/>
        </w:rPr>
        <w:t>In</w:t>
      </w:r>
      <w:r w:rsidR="00C566B6">
        <w:rPr>
          <w:rFonts w:ascii="Times New Roman" w:hAnsi="Times New Roman" w:cs="Times New Roman"/>
          <w:sz w:val="24"/>
          <w:szCs w:val="24"/>
        </w:rPr>
        <w:t xml:space="preserve"> studies of morphogenic patterning and cell fate specification, </w:t>
      </w:r>
      <w:r w:rsidR="006950FB">
        <w:rPr>
          <w:rFonts w:ascii="Times New Roman" w:hAnsi="Times New Roman" w:cs="Times New Roman"/>
          <w:sz w:val="24"/>
          <w:szCs w:val="24"/>
        </w:rPr>
        <w:t xml:space="preserve">it is important to temporally and spatially control the </w:t>
      </w:r>
      <w:r w:rsidR="00C566B6">
        <w:rPr>
          <w:rFonts w:ascii="Times New Roman" w:hAnsi="Times New Roman" w:cs="Times New Roman"/>
          <w:sz w:val="24"/>
          <w:szCs w:val="24"/>
        </w:rPr>
        <w:t xml:space="preserve">stem cell </w:t>
      </w:r>
      <w:r w:rsidR="006950FB">
        <w:rPr>
          <w:rFonts w:ascii="Times New Roman" w:hAnsi="Times New Roman" w:cs="Times New Roman"/>
          <w:sz w:val="24"/>
          <w:szCs w:val="24"/>
        </w:rPr>
        <w:t>aggregate microenvironment</w:t>
      </w:r>
      <w:r w:rsidR="00C566B6">
        <w:rPr>
          <w:rFonts w:ascii="Times New Roman" w:hAnsi="Times New Roman" w:cs="Times New Roman"/>
          <w:sz w:val="24"/>
          <w:szCs w:val="24"/>
        </w:rPr>
        <w:t xml:space="preserve">. </w:t>
      </w:r>
      <w:r w:rsidR="00B35190">
        <w:rPr>
          <w:rFonts w:ascii="Times New Roman" w:hAnsi="Times New Roman" w:cs="Times New Roman"/>
          <w:sz w:val="24"/>
          <w:szCs w:val="24"/>
        </w:rPr>
        <w:t>However, c</w:t>
      </w:r>
      <w:r w:rsidR="00C566B6">
        <w:rPr>
          <w:rFonts w:ascii="Times New Roman" w:hAnsi="Times New Roman" w:cs="Times New Roman"/>
          <w:sz w:val="24"/>
          <w:szCs w:val="24"/>
        </w:rPr>
        <w:t>urrent techniques fo</w:t>
      </w:r>
      <w:r w:rsidR="00411069">
        <w:rPr>
          <w:rFonts w:ascii="Times New Roman" w:hAnsi="Times New Roman" w:cs="Times New Roman"/>
          <w:sz w:val="24"/>
          <w:szCs w:val="24"/>
        </w:rPr>
        <w:t>r aggregate culture are limited</w:t>
      </w:r>
      <w:r w:rsidR="00C566B6">
        <w:rPr>
          <w:rFonts w:ascii="Times New Roman" w:hAnsi="Times New Roman" w:cs="Times New Roman"/>
          <w:sz w:val="24"/>
          <w:szCs w:val="24"/>
        </w:rPr>
        <w:t xml:space="preserve"> </w:t>
      </w:r>
      <w:r w:rsidR="00411069">
        <w:rPr>
          <w:rFonts w:ascii="Times New Roman" w:hAnsi="Times New Roman" w:cs="Times New Roman"/>
          <w:sz w:val="24"/>
          <w:szCs w:val="24"/>
        </w:rPr>
        <w:t xml:space="preserve">in their ability to provide well-controlled environments. </w:t>
      </w:r>
      <w:r w:rsidR="009E6CFC">
        <w:rPr>
          <w:rFonts w:ascii="Times New Roman" w:hAnsi="Times New Roman" w:cs="Times New Roman"/>
          <w:sz w:val="24"/>
          <w:szCs w:val="24"/>
        </w:rPr>
        <w:t xml:space="preserve">In </w:t>
      </w:r>
      <w:r w:rsidR="009E6CFC">
        <w:rPr>
          <w:rFonts w:ascii="Times New Roman" w:hAnsi="Times New Roman" w:cs="Times New Roman"/>
          <w:sz w:val="24"/>
          <w:szCs w:val="24"/>
        </w:rPr>
        <w:t>commonly used</w:t>
      </w:r>
      <w:r w:rsidR="009E6CFC">
        <w:rPr>
          <w:rFonts w:ascii="Times New Roman" w:hAnsi="Times New Roman" w:cs="Times New Roman"/>
          <w:sz w:val="24"/>
          <w:szCs w:val="24"/>
        </w:rPr>
        <w:t xml:space="preserve"> suspension culture, aggregates are exposed to </w:t>
      </w:r>
      <w:r w:rsidR="009E6CFC">
        <w:rPr>
          <w:rFonts w:ascii="Times New Roman" w:hAnsi="Times New Roman" w:cs="Times New Roman"/>
          <w:sz w:val="24"/>
          <w:szCs w:val="24"/>
        </w:rPr>
        <w:t>variability</w:t>
      </w:r>
      <w:r w:rsidR="009E6CFC">
        <w:rPr>
          <w:rFonts w:ascii="Times New Roman" w:hAnsi="Times New Roman" w:cs="Times New Roman"/>
          <w:sz w:val="24"/>
          <w:szCs w:val="24"/>
        </w:rPr>
        <w:t xml:space="preserve"> in parameters such as fluid shear stress and biomolecule concentrations.</w:t>
      </w:r>
      <w:r w:rsidR="009E6CFC">
        <w:rPr>
          <w:rFonts w:ascii="Times New Roman" w:hAnsi="Times New Roman" w:cs="Times New Roman"/>
          <w:sz w:val="24"/>
          <w:szCs w:val="24"/>
        </w:rPr>
        <w:t xml:space="preserve"> Additionally, single aggregates </w:t>
      </w:r>
      <w:r w:rsidR="00A36A07">
        <w:rPr>
          <w:rFonts w:ascii="Times New Roman" w:hAnsi="Times New Roman" w:cs="Times New Roman"/>
          <w:sz w:val="24"/>
          <w:szCs w:val="24"/>
        </w:rPr>
        <w:t xml:space="preserve">cannot be tracked </w:t>
      </w:r>
      <w:r w:rsidR="009E6CFC">
        <w:rPr>
          <w:rFonts w:ascii="Times New Roman" w:hAnsi="Times New Roman" w:cs="Times New Roman"/>
          <w:sz w:val="24"/>
          <w:szCs w:val="24"/>
        </w:rPr>
        <w:t xml:space="preserve">over time, limiting the ability to obtain dynamic phenotypic information on a single sample level. </w:t>
      </w:r>
      <w:r w:rsidR="0065134D">
        <w:rPr>
          <w:rFonts w:ascii="Times New Roman" w:hAnsi="Times New Roman" w:cs="Times New Roman"/>
          <w:sz w:val="24"/>
          <w:szCs w:val="24"/>
        </w:rPr>
        <w:t>Microfluidic devices offer an alternative to conventi</w:t>
      </w:r>
      <w:r w:rsidR="006B5A28">
        <w:rPr>
          <w:rFonts w:ascii="Times New Roman" w:hAnsi="Times New Roman" w:cs="Times New Roman"/>
          <w:sz w:val="24"/>
          <w:szCs w:val="24"/>
        </w:rPr>
        <w:t>onal culture techniques, but</w:t>
      </w:r>
      <w:r w:rsidR="0065134D">
        <w:rPr>
          <w:rFonts w:ascii="Times New Roman" w:hAnsi="Times New Roman" w:cs="Times New Roman"/>
          <w:sz w:val="24"/>
          <w:szCs w:val="24"/>
        </w:rPr>
        <w:t xml:space="preserve"> many of those that have been developed for stem cell aggregate culture </w:t>
      </w:r>
      <w:r w:rsidR="00D753AC">
        <w:rPr>
          <w:rFonts w:ascii="Times New Roman" w:hAnsi="Times New Roman" w:cs="Times New Roman"/>
          <w:sz w:val="24"/>
          <w:szCs w:val="24"/>
        </w:rPr>
        <w:t xml:space="preserve">have not been widely adopted due to their limited characterization or complex operation. Thus, there is still a need for a technology that can </w:t>
      </w:r>
      <w:r w:rsidR="00B61EF0">
        <w:rPr>
          <w:rFonts w:ascii="Times New Roman" w:hAnsi="Times New Roman" w:cs="Times New Roman"/>
          <w:sz w:val="24"/>
          <w:szCs w:val="24"/>
        </w:rPr>
        <w:t xml:space="preserve">both </w:t>
      </w:r>
      <w:r w:rsidR="00D753AC">
        <w:rPr>
          <w:rFonts w:ascii="Times New Roman" w:hAnsi="Times New Roman" w:cs="Times New Roman"/>
          <w:sz w:val="24"/>
          <w:szCs w:val="24"/>
        </w:rPr>
        <w:t xml:space="preserve">control variability in </w:t>
      </w:r>
      <w:r w:rsidR="00776A4E">
        <w:rPr>
          <w:rFonts w:ascii="Times New Roman" w:hAnsi="Times New Roman" w:cs="Times New Roman"/>
          <w:sz w:val="24"/>
          <w:szCs w:val="24"/>
        </w:rPr>
        <w:t>culture</w:t>
      </w:r>
      <w:r w:rsidR="00D753AC">
        <w:rPr>
          <w:rFonts w:ascii="Times New Roman" w:hAnsi="Times New Roman" w:cs="Times New Roman"/>
          <w:sz w:val="24"/>
          <w:szCs w:val="24"/>
        </w:rPr>
        <w:t xml:space="preserve"> conditions and allow tracking of single aggregates over time.</w:t>
      </w:r>
    </w:p>
    <w:p w:rsidR="00920222" w:rsidRDefault="006B3EF7" w:rsidP="00977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Here, we present a microfluidic device for culture of </w:t>
      </w:r>
      <w:r w:rsidR="00D753AC">
        <w:rPr>
          <w:rFonts w:ascii="Times New Roman" w:hAnsi="Times New Roman" w:cs="Times New Roman"/>
          <w:sz w:val="24"/>
          <w:szCs w:val="24"/>
        </w:rPr>
        <w:t>embryonic</w:t>
      </w:r>
      <w:r w:rsidR="00D753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stem cell aggregates in physically isolated, well-co</w:t>
      </w:r>
      <w:r w:rsidR="004439BB">
        <w:rPr>
          <w:rFonts w:ascii="Times New Roman" w:hAnsi="Times New Roman" w:cs="Times New Roman"/>
          <w:sz w:val="24"/>
          <w:szCs w:val="24"/>
        </w:rPr>
        <w:t>ntrolled, defined environments.</w:t>
      </w:r>
      <w:r w:rsidR="00996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368C">
        <w:rPr>
          <w:rFonts w:ascii="Times New Roman" w:hAnsi="Times New Roman" w:cs="Times New Roman"/>
          <w:sz w:val="24"/>
          <w:szCs w:val="24"/>
        </w:rPr>
        <w:t>M</w:t>
      </w:r>
      <w:r w:rsidR="00C47A18">
        <w:rPr>
          <w:rFonts w:ascii="Times New Roman" w:hAnsi="Times New Roman" w:cs="Times New Roman"/>
          <w:sz w:val="24"/>
          <w:szCs w:val="24"/>
        </w:rPr>
        <w:t>icroscale</w:t>
      </w:r>
      <w:proofErr w:type="spellEnd"/>
      <w:r w:rsidR="00C47A18">
        <w:rPr>
          <w:rFonts w:ascii="Times New Roman" w:hAnsi="Times New Roman" w:cs="Times New Roman"/>
          <w:sz w:val="24"/>
          <w:szCs w:val="24"/>
        </w:rPr>
        <w:t xml:space="preserve"> fluid flow, due to the </w:t>
      </w:r>
      <w:r w:rsidR="008C7E1B">
        <w:rPr>
          <w:rFonts w:ascii="Times New Roman" w:hAnsi="Times New Roman" w:cs="Times New Roman"/>
          <w:sz w:val="24"/>
          <w:szCs w:val="24"/>
        </w:rPr>
        <w:t>small length scales and laminar fl</w:t>
      </w:r>
      <w:r w:rsidR="00C47A18">
        <w:rPr>
          <w:rFonts w:ascii="Times New Roman" w:hAnsi="Times New Roman" w:cs="Times New Roman"/>
          <w:sz w:val="24"/>
          <w:szCs w:val="24"/>
        </w:rPr>
        <w:t xml:space="preserve">ow regime, </w:t>
      </w:r>
      <w:r w:rsidR="006B2DF8">
        <w:rPr>
          <w:rFonts w:ascii="Times New Roman" w:hAnsi="Times New Roman" w:cs="Times New Roman"/>
          <w:sz w:val="24"/>
          <w:szCs w:val="24"/>
        </w:rPr>
        <w:t>en</w:t>
      </w:r>
      <w:r w:rsidR="008C7E1B">
        <w:rPr>
          <w:rFonts w:ascii="Times New Roman" w:hAnsi="Times New Roman" w:cs="Times New Roman"/>
          <w:sz w:val="24"/>
          <w:szCs w:val="24"/>
        </w:rPr>
        <w:t>able</w:t>
      </w:r>
      <w:r w:rsidR="00B956D0">
        <w:rPr>
          <w:rFonts w:ascii="Times New Roman" w:hAnsi="Times New Roman" w:cs="Times New Roman"/>
          <w:sz w:val="24"/>
          <w:szCs w:val="24"/>
        </w:rPr>
        <w:t>s</w:t>
      </w:r>
      <w:r w:rsidR="008C7E1B">
        <w:rPr>
          <w:rFonts w:ascii="Times New Roman" w:hAnsi="Times New Roman" w:cs="Times New Roman"/>
          <w:sz w:val="24"/>
          <w:szCs w:val="24"/>
        </w:rPr>
        <w:t xml:space="preserve"> precise </w:t>
      </w:r>
      <w:r w:rsidR="006B2DF8">
        <w:rPr>
          <w:rFonts w:ascii="Times New Roman" w:hAnsi="Times New Roman" w:cs="Times New Roman"/>
          <w:sz w:val="24"/>
          <w:szCs w:val="24"/>
        </w:rPr>
        <w:t xml:space="preserve">temporal and spatial </w:t>
      </w:r>
      <w:r w:rsidR="008C7E1B">
        <w:rPr>
          <w:rFonts w:ascii="Times New Roman" w:hAnsi="Times New Roman" w:cs="Times New Roman"/>
          <w:sz w:val="24"/>
          <w:szCs w:val="24"/>
        </w:rPr>
        <w:t xml:space="preserve">control of the </w:t>
      </w:r>
      <w:r w:rsidR="00D250C3">
        <w:rPr>
          <w:rFonts w:ascii="Times New Roman" w:hAnsi="Times New Roman" w:cs="Times New Roman"/>
          <w:sz w:val="24"/>
          <w:szCs w:val="24"/>
        </w:rPr>
        <w:t xml:space="preserve">aggregate </w:t>
      </w:r>
      <w:r w:rsidR="008C7E1B">
        <w:rPr>
          <w:rFonts w:ascii="Times New Roman" w:hAnsi="Times New Roman" w:cs="Times New Roman"/>
          <w:sz w:val="24"/>
          <w:szCs w:val="24"/>
        </w:rPr>
        <w:t xml:space="preserve">microenvironment. Furthermore, the presence of cell-secreted molecules in the aggregate microenvironment can be modulated by operating the device under either perfusion or static </w:t>
      </w:r>
      <w:r w:rsidR="00D250C3">
        <w:rPr>
          <w:rFonts w:ascii="Times New Roman" w:hAnsi="Times New Roman" w:cs="Times New Roman"/>
          <w:sz w:val="24"/>
          <w:szCs w:val="24"/>
        </w:rPr>
        <w:t xml:space="preserve">flow </w:t>
      </w:r>
      <w:r w:rsidR="008C7E1B">
        <w:rPr>
          <w:rFonts w:ascii="Times New Roman" w:hAnsi="Times New Roman" w:cs="Times New Roman"/>
          <w:sz w:val="24"/>
          <w:szCs w:val="24"/>
        </w:rPr>
        <w:t>conditions. The device is simple to operate: aggregates are loaded using gravity-driven flow and are passively positioned in an array of traps</w:t>
      </w:r>
      <w:r w:rsidR="00E2078C">
        <w:rPr>
          <w:rFonts w:ascii="Times New Roman" w:hAnsi="Times New Roman" w:cs="Times New Roman"/>
          <w:sz w:val="24"/>
          <w:szCs w:val="24"/>
        </w:rPr>
        <w:t xml:space="preserve">, guided by fluid streamlines. Retrieval of aggregates from the device can be achieved by reversing the flow. Over more than five days of culture of differentiating aggregates, we </w:t>
      </w:r>
      <w:r w:rsidR="00B114F7">
        <w:rPr>
          <w:rFonts w:ascii="Times New Roman" w:hAnsi="Times New Roman" w:cs="Times New Roman"/>
          <w:sz w:val="24"/>
          <w:szCs w:val="24"/>
        </w:rPr>
        <w:t xml:space="preserve">use imaging to </w:t>
      </w:r>
      <w:r w:rsidR="00E2078C">
        <w:rPr>
          <w:rFonts w:ascii="Times New Roman" w:hAnsi="Times New Roman" w:cs="Times New Roman"/>
          <w:sz w:val="24"/>
          <w:szCs w:val="24"/>
        </w:rPr>
        <w:t xml:space="preserve">characterize </w:t>
      </w:r>
      <w:r w:rsidR="00B114F7">
        <w:rPr>
          <w:rFonts w:ascii="Times New Roman" w:hAnsi="Times New Roman" w:cs="Times New Roman"/>
          <w:sz w:val="24"/>
          <w:szCs w:val="24"/>
        </w:rPr>
        <w:t xml:space="preserve">aggregate </w:t>
      </w:r>
      <w:r w:rsidR="00623AFA">
        <w:rPr>
          <w:rFonts w:ascii="Times New Roman" w:hAnsi="Times New Roman" w:cs="Times New Roman"/>
          <w:sz w:val="24"/>
          <w:szCs w:val="24"/>
        </w:rPr>
        <w:t xml:space="preserve">morphology </w:t>
      </w:r>
      <w:r w:rsidR="00E2078C">
        <w:rPr>
          <w:rFonts w:ascii="Times New Roman" w:hAnsi="Times New Roman" w:cs="Times New Roman"/>
          <w:sz w:val="24"/>
          <w:szCs w:val="24"/>
        </w:rPr>
        <w:t xml:space="preserve">and protein expression of pluripotent and differentiation markers. </w:t>
      </w:r>
      <w:r w:rsidR="00A67F51">
        <w:rPr>
          <w:rFonts w:ascii="Times New Roman" w:hAnsi="Times New Roman" w:cs="Times New Roman"/>
          <w:sz w:val="24"/>
          <w:szCs w:val="24"/>
        </w:rPr>
        <w:t>Overall,</w:t>
      </w:r>
      <w:r w:rsidR="00920222">
        <w:rPr>
          <w:rFonts w:ascii="Times New Roman" w:hAnsi="Times New Roman" w:cs="Times New Roman"/>
          <w:sz w:val="24"/>
          <w:szCs w:val="24"/>
        </w:rPr>
        <w:t xml:space="preserve"> we demonstrate</w:t>
      </w:r>
      <w:r w:rsidR="00920222">
        <w:rPr>
          <w:rFonts w:ascii="Times New Roman" w:hAnsi="Times New Roman" w:cs="Times New Roman"/>
          <w:sz w:val="24"/>
          <w:szCs w:val="24"/>
        </w:rPr>
        <w:t xml:space="preserve"> a novel microfluidic technology that provides well-controlled, defined conditions for culture of stem cell aggregates</w:t>
      </w:r>
      <w:r w:rsidR="00920222">
        <w:rPr>
          <w:rFonts w:ascii="Times New Roman" w:hAnsi="Times New Roman" w:cs="Times New Roman"/>
          <w:sz w:val="24"/>
          <w:szCs w:val="24"/>
        </w:rPr>
        <w:t xml:space="preserve">. Our technology allows us to capture dynamic, single sample level phenotypic characterization of differentiating stem cell aggregates. </w:t>
      </w:r>
    </w:p>
    <w:p w:rsidR="00920222" w:rsidRDefault="00920222" w:rsidP="00977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920222" w:rsidRDefault="00920222" w:rsidP="00977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20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3BF"/>
    <w:rsid w:val="00010B51"/>
    <w:rsid w:val="00023697"/>
    <w:rsid w:val="000336D3"/>
    <w:rsid w:val="000761C1"/>
    <w:rsid w:val="000A592F"/>
    <w:rsid w:val="001433C7"/>
    <w:rsid w:val="00194BB2"/>
    <w:rsid w:val="00211C48"/>
    <w:rsid w:val="00243B07"/>
    <w:rsid w:val="00244CD7"/>
    <w:rsid w:val="002723B9"/>
    <w:rsid w:val="0027733C"/>
    <w:rsid w:val="002A7D00"/>
    <w:rsid w:val="002D25D7"/>
    <w:rsid w:val="00311A1E"/>
    <w:rsid w:val="0035287D"/>
    <w:rsid w:val="00374486"/>
    <w:rsid w:val="003A03BF"/>
    <w:rsid w:val="003B25E5"/>
    <w:rsid w:val="00411069"/>
    <w:rsid w:val="004227D2"/>
    <w:rsid w:val="00427F3E"/>
    <w:rsid w:val="00435245"/>
    <w:rsid w:val="004439BB"/>
    <w:rsid w:val="004804CA"/>
    <w:rsid w:val="0048708B"/>
    <w:rsid w:val="004B7E1B"/>
    <w:rsid w:val="004C638A"/>
    <w:rsid w:val="004D16B7"/>
    <w:rsid w:val="004F6E3D"/>
    <w:rsid w:val="005160A2"/>
    <w:rsid w:val="005A2E31"/>
    <w:rsid w:val="005E6B4F"/>
    <w:rsid w:val="00623AFA"/>
    <w:rsid w:val="0065134D"/>
    <w:rsid w:val="006950FB"/>
    <w:rsid w:val="006B2DF8"/>
    <w:rsid w:val="006B3EF7"/>
    <w:rsid w:val="006B5A28"/>
    <w:rsid w:val="006D55CC"/>
    <w:rsid w:val="007375F1"/>
    <w:rsid w:val="00776A4E"/>
    <w:rsid w:val="007F0576"/>
    <w:rsid w:val="00822132"/>
    <w:rsid w:val="008732D7"/>
    <w:rsid w:val="008C10BE"/>
    <w:rsid w:val="008C2A92"/>
    <w:rsid w:val="008C7E1B"/>
    <w:rsid w:val="00901571"/>
    <w:rsid w:val="00920222"/>
    <w:rsid w:val="00936BFC"/>
    <w:rsid w:val="00964F96"/>
    <w:rsid w:val="0097749D"/>
    <w:rsid w:val="009779C6"/>
    <w:rsid w:val="0099680A"/>
    <w:rsid w:val="009C6030"/>
    <w:rsid w:val="009E6CFC"/>
    <w:rsid w:val="009F019F"/>
    <w:rsid w:val="009F428F"/>
    <w:rsid w:val="00A14DEF"/>
    <w:rsid w:val="00A17F00"/>
    <w:rsid w:val="00A36A07"/>
    <w:rsid w:val="00A67F51"/>
    <w:rsid w:val="00AF3E22"/>
    <w:rsid w:val="00B07EE9"/>
    <w:rsid w:val="00B114F7"/>
    <w:rsid w:val="00B235D9"/>
    <w:rsid w:val="00B35190"/>
    <w:rsid w:val="00B61EF0"/>
    <w:rsid w:val="00B956D0"/>
    <w:rsid w:val="00BA136E"/>
    <w:rsid w:val="00C253D7"/>
    <w:rsid w:val="00C47A18"/>
    <w:rsid w:val="00C560F3"/>
    <w:rsid w:val="00C566B6"/>
    <w:rsid w:val="00CC3469"/>
    <w:rsid w:val="00CE5548"/>
    <w:rsid w:val="00CF1B18"/>
    <w:rsid w:val="00D0151F"/>
    <w:rsid w:val="00D07E40"/>
    <w:rsid w:val="00D114C2"/>
    <w:rsid w:val="00D250C3"/>
    <w:rsid w:val="00D753AC"/>
    <w:rsid w:val="00D9691E"/>
    <w:rsid w:val="00DA1002"/>
    <w:rsid w:val="00DA414E"/>
    <w:rsid w:val="00DB702D"/>
    <w:rsid w:val="00E0368C"/>
    <w:rsid w:val="00E2078C"/>
    <w:rsid w:val="00E75878"/>
    <w:rsid w:val="00F1227C"/>
    <w:rsid w:val="00F76E29"/>
    <w:rsid w:val="00FA1343"/>
    <w:rsid w:val="00FD7992"/>
    <w:rsid w:val="00FE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227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3B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4227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33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3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3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3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3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227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3B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4227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33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3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3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3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3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Jackson</dc:creator>
  <cp:lastModifiedBy>Emily Jackson</cp:lastModifiedBy>
  <cp:revision>4</cp:revision>
  <dcterms:created xsi:type="dcterms:W3CDTF">2014-05-13T01:24:00Z</dcterms:created>
  <dcterms:modified xsi:type="dcterms:W3CDTF">2014-05-13T01:37:00Z</dcterms:modified>
</cp:coreProperties>
</file>