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5EB4F" w14:textId="77777777" w:rsidR="00803994" w:rsidRDefault="00803994" w:rsidP="00803994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Determination of optimum hydrolysis conditions for conversion of a forest product wastewater effluent to fermentable sugars and ethanol</w:t>
      </w:r>
    </w:p>
    <w:p w14:paraId="5AD1026D" w14:textId="77777777" w:rsidR="00803994" w:rsidRDefault="00803994" w:rsidP="00803994">
      <w:pPr>
        <w:jc w:val="center"/>
      </w:pPr>
      <w:r>
        <w:t>Jifei Liu</w:t>
      </w:r>
      <w:r>
        <w:rPr>
          <w:vertAlign w:val="superscript"/>
        </w:rPr>
        <w:t>1</w:t>
      </w:r>
      <w:r>
        <w:t>, Stephanie Groves</w:t>
      </w:r>
      <w:r>
        <w:rPr>
          <w:vertAlign w:val="superscript"/>
        </w:rPr>
        <w:t>2</w:t>
      </w:r>
      <w:r>
        <w:t>, Susan T. Bagley</w:t>
      </w:r>
      <w:r>
        <w:rPr>
          <w:vertAlign w:val="superscript"/>
        </w:rPr>
        <w:t>2</w:t>
      </w:r>
      <w:r>
        <w:t>, David R. Shonnard</w:t>
      </w:r>
      <w:r>
        <w:rPr>
          <w:vertAlign w:val="superscript"/>
        </w:rPr>
        <w:t>1, 3</w:t>
      </w:r>
      <w:r>
        <w:t xml:space="preserve"> </w:t>
      </w:r>
    </w:p>
    <w:p w14:paraId="1F56E970" w14:textId="77777777" w:rsidR="00803994" w:rsidRDefault="00803994" w:rsidP="0007271E">
      <w:pPr>
        <w:spacing w:after="120" w:line="360" w:lineRule="auto"/>
        <w:jc w:val="center"/>
      </w:pPr>
      <w:r>
        <w:t>1 Department of Chemical Engineering</w:t>
      </w:r>
    </w:p>
    <w:p w14:paraId="64463F5C" w14:textId="77777777" w:rsidR="00803994" w:rsidRDefault="00803994" w:rsidP="0007271E">
      <w:pPr>
        <w:spacing w:after="120" w:line="360" w:lineRule="auto"/>
        <w:jc w:val="center"/>
      </w:pPr>
      <w:r>
        <w:t>2 Department of Biological Sciences</w:t>
      </w:r>
    </w:p>
    <w:p w14:paraId="75F985CF" w14:textId="77777777" w:rsidR="00803994" w:rsidRDefault="00803994" w:rsidP="0007271E">
      <w:pPr>
        <w:spacing w:after="120" w:line="360" w:lineRule="auto"/>
        <w:jc w:val="center"/>
      </w:pPr>
      <w:r>
        <w:t>3 The Sustainable Futures Institute</w:t>
      </w:r>
    </w:p>
    <w:p w14:paraId="008F4ACB" w14:textId="77777777" w:rsidR="00FC0A93" w:rsidRDefault="00FC0A93" w:rsidP="0007271E">
      <w:pPr>
        <w:spacing w:after="120" w:line="360" w:lineRule="auto"/>
        <w:jc w:val="center"/>
      </w:pPr>
      <w:r>
        <w:t>Michigan Technological University, Houghton, MI 49931</w:t>
      </w:r>
    </w:p>
    <w:p w14:paraId="4E6051B1" w14:textId="77777777" w:rsidR="00803994" w:rsidRDefault="00803994" w:rsidP="00803994">
      <w:pPr>
        <w:spacing w:after="300"/>
        <w:rPr>
          <w:b/>
          <w:sz w:val="28"/>
        </w:rPr>
      </w:pPr>
      <w:r>
        <w:rPr>
          <w:b/>
          <w:sz w:val="28"/>
        </w:rPr>
        <w:t>Abstract</w:t>
      </w:r>
    </w:p>
    <w:p w14:paraId="602ADFAF" w14:textId="606DBC12" w:rsidR="00803994" w:rsidRDefault="00803994" w:rsidP="00803994">
      <w:pPr>
        <w:spacing w:after="300"/>
        <w:rPr>
          <w:sz w:val="22"/>
        </w:rPr>
      </w:pPr>
      <w:r>
        <w:t xml:space="preserve">A two-step hydrolysis process was employed on a </w:t>
      </w:r>
      <w:r w:rsidR="00FC0A93">
        <w:t>forest product (</w:t>
      </w:r>
      <w:r>
        <w:t>hardboard</w:t>
      </w:r>
      <w:r w:rsidR="00FC0A93">
        <w:t>)</w:t>
      </w:r>
      <w:r>
        <w:t xml:space="preserve"> wastewater stream for determining the viability for production of mixed sugars. Five- and six- carbon sugar and inhibitor concentrations were analyzed after dilute acid hydrolysis with different acid concentrations </w:t>
      </w:r>
      <w:r w:rsidR="00671001">
        <w:t xml:space="preserve">(g/l) </w:t>
      </w:r>
      <w:r>
        <w:t>and times</w:t>
      </w:r>
      <w:r w:rsidR="00671001">
        <w:t xml:space="preserve"> (min)</w:t>
      </w:r>
      <w:r>
        <w:t xml:space="preserve"> of hydrolysis at 121°C.  Quadratic regression models were employed to identify optimum reaction conditions to give high sugar yields and acceptably low inhibitor </w:t>
      </w:r>
      <w:r w:rsidR="000904D5">
        <w:t xml:space="preserve">yields </w:t>
      </w:r>
      <w:r>
        <w:t xml:space="preserve">which would not negatively influence subsequent fermentation. </w:t>
      </w:r>
      <w:r w:rsidR="003927CD">
        <w:t>S</w:t>
      </w:r>
      <w:r w:rsidR="000904D5">
        <w:t xml:space="preserve">ugar and inhibitor yields are defined as the concentration </w:t>
      </w:r>
      <w:r w:rsidR="00C46F70">
        <w:t xml:space="preserve">of sugars or inhibitors divided by the concentration of total solid in the feedstock. </w:t>
      </w:r>
      <w:r>
        <w:t>The optimum conditions for dilute acid pretreatment were determined to be in the range of acid concentration (1.65 -1.85%), and reaction time (44 - 59 minutes)</w:t>
      </w:r>
      <w:r w:rsidR="005E30A7">
        <w:t xml:space="preserve"> for which </w:t>
      </w:r>
      <w:r w:rsidR="00671001">
        <w:t xml:space="preserve">total </w:t>
      </w:r>
      <w:r w:rsidR="005E30A7">
        <w:t xml:space="preserve">sugar yield was </w:t>
      </w:r>
      <w:r w:rsidR="00671001">
        <w:t>above 0.60 and furfural is less than 0.5 g/l</w:t>
      </w:r>
      <w:r>
        <w:t xml:space="preserve">. It was also discovered that enzyme hydrolysis after optimum pretreatment did not produce significant amounts of sugars, and thus acid pretreatment alone is sufficient. This study concludes that a hardboard wastewater stream is a promising feedstock for production of mixed sugars which may be fermented to high value products.  </w:t>
      </w:r>
      <w:bookmarkStart w:id="0" w:name="_GoBack"/>
      <w:bookmarkEnd w:id="0"/>
    </w:p>
    <w:sectPr w:rsidR="00803994" w:rsidSect="00C04A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A36EDD" w14:textId="77777777" w:rsidR="000C3003" w:rsidRDefault="000C3003" w:rsidP="00D94B1C">
      <w:pPr>
        <w:spacing w:after="0" w:line="240" w:lineRule="auto"/>
      </w:pPr>
      <w:r>
        <w:separator/>
      </w:r>
    </w:p>
  </w:endnote>
  <w:endnote w:type="continuationSeparator" w:id="0">
    <w:p w14:paraId="4A7503C7" w14:textId="77777777" w:rsidR="000C3003" w:rsidRDefault="000C3003" w:rsidP="00D94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AEBE8" w14:textId="77777777" w:rsidR="000C3003" w:rsidRDefault="000C3003" w:rsidP="00D94B1C">
      <w:pPr>
        <w:spacing w:after="0" w:line="240" w:lineRule="auto"/>
      </w:pPr>
      <w:r>
        <w:separator/>
      </w:r>
    </w:p>
  </w:footnote>
  <w:footnote w:type="continuationSeparator" w:id="0">
    <w:p w14:paraId="36C10298" w14:textId="77777777" w:rsidR="000C3003" w:rsidRDefault="000C3003" w:rsidP="00D94B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03994"/>
    <w:rsid w:val="0007271E"/>
    <w:rsid w:val="000904D5"/>
    <w:rsid w:val="000C3003"/>
    <w:rsid w:val="002A1C21"/>
    <w:rsid w:val="003927CD"/>
    <w:rsid w:val="003969AE"/>
    <w:rsid w:val="0058750D"/>
    <w:rsid w:val="005E30A7"/>
    <w:rsid w:val="00671001"/>
    <w:rsid w:val="007D0100"/>
    <w:rsid w:val="00803994"/>
    <w:rsid w:val="00A21636"/>
    <w:rsid w:val="00C04AEA"/>
    <w:rsid w:val="00C46F70"/>
    <w:rsid w:val="00D033E7"/>
    <w:rsid w:val="00D94B1C"/>
    <w:rsid w:val="00F406C5"/>
    <w:rsid w:val="00FC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6F9579"/>
  <w15:docId w15:val="{F726C6E0-D5EF-4B2F-8975-81B69612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994"/>
    <w:pPr>
      <w:spacing w:after="240" w:line="480" w:lineRule="auto"/>
      <w:outlineLvl w:val="3"/>
    </w:pPr>
    <w:rPr>
      <w:rFonts w:ascii="Times New Roman" w:eastAsia="宋体" w:hAnsi="Times New Roman" w:cs="Times New Roman"/>
      <w:bCs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0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FC0A93"/>
    <w:rPr>
      <w:rFonts w:ascii="Tahoma" w:eastAsia="宋体" w:hAnsi="Tahoma" w:cs="Tahoma"/>
      <w:bCs/>
      <w:sz w:val="16"/>
      <w:szCs w:val="16"/>
      <w:lang w:eastAsia="en-US" w:bidi="en-US"/>
    </w:rPr>
  </w:style>
  <w:style w:type="character" w:styleId="a4">
    <w:name w:val="annotation reference"/>
    <w:basedOn w:val="a0"/>
    <w:uiPriority w:val="99"/>
    <w:semiHidden/>
    <w:unhideWhenUsed/>
    <w:rsid w:val="005E30A7"/>
    <w:rPr>
      <w:sz w:val="16"/>
      <w:szCs w:val="16"/>
    </w:rPr>
  </w:style>
  <w:style w:type="paragraph" w:styleId="a5">
    <w:name w:val="annotation text"/>
    <w:basedOn w:val="a"/>
    <w:link w:val="Char0"/>
    <w:uiPriority w:val="99"/>
    <w:semiHidden/>
    <w:unhideWhenUsed/>
    <w:rsid w:val="005E30A7"/>
    <w:pPr>
      <w:spacing w:line="240" w:lineRule="auto"/>
    </w:pPr>
    <w:rPr>
      <w:sz w:val="20"/>
      <w:szCs w:val="20"/>
    </w:rPr>
  </w:style>
  <w:style w:type="character" w:customStyle="1" w:styleId="Char0">
    <w:name w:val="批注文字 Char"/>
    <w:basedOn w:val="a0"/>
    <w:link w:val="a5"/>
    <w:uiPriority w:val="99"/>
    <w:semiHidden/>
    <w:rsid w:val="005E30A7"/>
    <w:rPr>
      <w:rFonts w:ascii="Times New Roman" w:eastAsia="宋体" w:hAnsi="Times New Roman" w:cs="Times New Roman"/>
      <w:bCs/>
      <w:sz w:val="20"/>
      <w:szCs w:val="20"/>
      <w:lang w:eastAsia="en-US" w:bidi="en-US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5E30A7"/>
    <w:rPr>
      <w:b/>
    </w:rPr>
  </w:style>
  <w:style w:type="character" w:customStyle="1" w:styleId="Char1">
    <w:name w:val="批注主题 Char"/>
    <w:basedOn w:val="Char0"/>
    <w:link w:val="a6"/>
    <w:uiPriority w:val="99"/>
    <w:semiHidden/>
    <w:rsid w:val="005E30A7"/>
    <w:rPr>
      <w:rFonts w:ascii="Times New Roman" w:eastAsia="宋体" w:hAnsi="Times New Roman" w:cs="Times New Roman"/>
      <w:b/>
      <w:bCs/>
      <w:sz w:val="20"/>
      <w:szCs w:val="20"/>
      <w:lang w:eastAsia="en-US" w:bidi="en-US"/>
    </w:rPr>
  </w:style>
  <w:style w:type="paragraph" w:styleId="a7">
    <w:name w:val="header"/>
    <w:basedOn w:val="a"/>
    <w:link w:val="Char2"/>
    <w:uiPriority w:val="99"/>
    <w:unhideWhenUsed/>
    <w:rsid w:val="00D94B1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2">
    <w:name w:val="页眉 Char"/>
    <w:basedOn w:val="a0"/>
    <w:link w:val="a7"/>
    <w:uiPriority w:val="99"/>
    <w:rsid w:val="00D94B1C"/>
    <w:rPr>
      <w:rFonts w:ascii="Times New Roman" w:eastAsia="宋体" w:hAnsi="Times New Roman" w:cs="Times New Roman"/>
      <w:bCs/>
      <w:sz w:val="24"/>
      <w:szCs w:val="24"/>
      <w:lang w:eastAsia="en-US" w:bidi="en-US"/>
    </w:rPr>
  </w:style>
  <w:style w:type="paragraph" w:styleId="a8">
    <w:name w:val="footer"/>
    <w:basedOn w:val="a"/>
    <w:link w:val="Char3"/>
    <w:uiPriority w:val="99"/>
    <w:unhideWhenUsed/>
    <w:rsid w:val="00D94B1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3">
    <w:name w:val="页脚 Char"/>
    <w:basedOn w:val="a0"/>
    <w:link w:val="a8"/>
    <w:uiPriority w:val="99"/>
    <w:rsid w:val="00D94B1C"/>
    <w:rPr>
      <w:rFonts w:ascii="Times New Roman" w:eastAsia="宋体" w:hAnsi="Times New Roman" w:cs="Times New Roman"/>
      <w:bCs/>
      <w:sz w:val="24"/>
      <w:szCs w:val="24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244</Words>
  <Characters>1392</Characters>
  <Application>Microsoft Office Word</Application>
  <DocSecurity>0</DocSecurity>
  <Lines>11</Lines>
  <Paragraphs>3</Paragraphs>
  <ScaleCrop>false</ScaleCrop>
  <Company>Toshiba</Company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2014-05-12T22:03:00Z</dcterms:created>
  <dcterms:modified xsi:type="dcterms:W3CDTF">2014-05-12T22:20:00Z</dcterms:modified>
</cp:coreProperties>
</file>