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123" w:rsidRPr="002D369D" w:rsidRDefault="00C22E65" w:rsidP="00614C46">
      <w:pPr>
        <w:pStyle w:val="Title"/>
      </w:pPr>
      <w:r>
        <w:t>The mobility vs. carrier density trend in wafer-scale e</w:t>
      </w:r>
      <w:r w:rsidR="002D369D">
        <w:t xml:space="preserve">pitaxial </w:t>
      </w:r>
      <w:r>
        <w:t>g</w:t>
      </w:r>
      <w:r w:rsidR="002D369D" w:rsidRPr="002D369D">
        <w:t xml:space="preserve">raphene </w:t>
      </w:r>
      <w:r>
        <w:t xml:space="preserve">on SiC, and how </w:t>
      </w:r>
      <w:r w:rsidR="00D05E91">
        <w:t>it can be</w:t>
      </w:r>
      <w:r>
        <w:t xml:space="preserve"> defeat</w:t>
      </w:r>
      <w:r w:rsidR="00D05E91">
        <w:t>ed</w:t>
      </w:r>
    </w:p>
    <w:p w:rsidR="00836D87" w:rsidRDefault="00836D87" w:rsidP="00836D87">
      <w:pPr>
        <w:pStyle w:val="Authors"/>
        <w:jc w:val="both"/>
      </w:pPr>
    </w:p>
    <w:p w:rsidR="00EF1123" w:rsidRDefault="002D369D" w:rsidP="00836D87">
      <w:pPr>
        <w:pStyle w:val="Authors"/>
        <w:jc w:val="both"/>
      </w:pPr>
      <w:r>
        <w:rPr>
          <w:u w:val="single"/>
        </w:rPr>
        <w:t>C</w:t>
      </w:r>
      <w:r w:rsidR="003E724A">
        <w:rPr>
          <w:u w:val="single"/>
        </w:rPr>
        <w:t>.</w:t>
      </w:r>
      <w:r>
        <w:rPr>
          <w:u w:val="single"/>
        </w:rPr>
        <w:t xml:space="preserve"> Dimitrakopoulos</w:t>
      </w:r>
      <w:r w:rsidR="002C465F">
        <w:t>,</w:t>
      </w:r>
      <w:r w:rsidR="005C3E1F" w:rsidRPr="005C3E1F">
        <w:rPr>
          <w:vertAlign w:val="superscript"/>
        </w:rPr>
        <w:t>1</w:t>
      </w:r>
      <w:r w:rsidR="002C465F">
        <w:rPr>
          <w:vertAlign w:val="superscript"/>
        </w:rPr>
        <w:t xml:space="preserve"> </w:t>
      </w:r>
      <w:r w:rsidR="00092385" w:rsidRPr="00092385">
        <w:t>T</w:t>
      </w:r>
      <w:r w:rsidR="003E724A">
        <w:t>.</w:t>
      </w:r>
      <w:r w:rsidR="00092385" w:rsidRPr="00092385">
        <w:t xml:space="preserve"> J. McArdle,</w:t>
      </w:r>
      <w:r w:rsidR="005C3E1F" w:rsidRPr="005C3E1F">
        <w:rPr>
          <w:vertAlign w:val="superscript"/>
        </w:rPr>
        <w:t>2</w:t>
      </w:r>
      <w:r w:rsidR="00092385" w:rsidRPr="00092385">
        <w:t xml:space="preserve"> </w:t>
      </w:r>
      <w:r w:rsidR="00C22E65" w:rsidRPr="00092385">
        <w:t>D</w:t>
      </w:r>
      <w:r w:rsidR="00C22E65">
        <w:t>.</w:t>
      </w:r>
      <w:r w:rsidR="00C22E65" w:rsidRPr="00092385">
        <w:t xml:space="preserve"> Farmer,</w:t>
      </w:r>
      <w:r w:rsidR="002C465F">
        <w:rPr>
          <w:vertAlign w:val="superscript"/>
        </w:rPr>
        <w:t>3</w:t>
      </w:r>
      <w:r w:rsidR="00C22E65" w:rsidRPr="00092385">
        <w:t xml:space="preserve"> </w:t>
      </w:r>
      <w:r w:rsidR="00092385" w:rsidRPr="00092385">
        <w:t>A</w:t>
      </w:r>
      <w:r w:rsidR="003E724A">
        <w:t>.</w:t>
      </w:r>
      <w:r w:rsidR="00836D87">
        <w:t xml:space="preserve"> </w:t>
      </w:r>
      <w:r w:rsidR="00092385" w:rsidRPr="00092385">
        <w:t>Grill,</w:t>
      </w:r>
      <w:r w:rsidR="002C465F">
        <w:rPr>
          <w:vertAlign w:val="superscript"/>
        </w:rPr>
        <w:t>3</w:t>
      </w:r>
      <w:r w:rsidR="00092385" w:rsidRPr="00092385">
        <w:t xml:space="preserve"> D</w:t>
      </w:r>
      <w:r w:rsidR="003E724A">
        <w:t>.</w:t>
      </w:r>
      <w:r w:rsidR="00092385" w:rsidRPr="00092385">
        <w:t xml:space="preserve"> Pfeiffer</w:t>
      </w:r>
      <w:r w:rsidR="00092385">
        <w:t>,</w:t>
      </w:r>
      <w:r w:rsidR="002C465F">
        <w:rPr>
          <w:vertAlign w:val="superscript"/>
        </w:rPr>
        <w:t>3</w:t>
      </w:r>
      <w:r w:rsidR="00092385">
        <w:t xml:space="preserve"> </w:t>
      </w:r>
      <w:r w:rsidR="00092385" w:rsidRPr="00092385">
        <w:t>P</w:t>
      </w:r>
      <w:r w:rsidR="003E724A">
        <w:t>h.</w:t>
      </w:r>
      <w:r w:rsidR="00836D87">
        <w:t xml:space="preserve"> Avouris</w:t>
      </w:r>
      <w:r w:rsidR="002C465F">
        <w:rPr>
          <w:vertAlign w:val="superscript"/>
        </w:rPr>
        <w:t>3</w:t>
      </w:r>
    </w:p>
    <w:p w:rsidR="00EF1123" w:rsidRDefault="00EF1123">
      <w:pPr>
        <w:pStyle w:val="Authors"/>
      </w:pPr>
    </w:p>
    <w:p w:rsidR="00C22E65" w:rsidRDefault="005C3E1F" w:rsidP="002D369D">
      <w:pPr>
        <w:pStyle w:val="Authors"/>
      </w:pPr>
      <w:r>
        <w:t xml:space="preserve">1. </w:t>
      </w:r>
      <w:r w:rsidR="00C22E65">
        <w:t>Chemical Engineerin</w:t>
      </w:r>
      <w:r>
        <w:t>g Dept. University of Massachus</w:t>
      </w:r>
      <w:r w:rsidR="00C22E65">
        <w:t>e</w:t>
      </w:r>
      <w:r>
        <w:t>t</w:t>
      </w:r>
      <w:r w:rsidR="00C22E65">
        <w:t xml:space="preserve">ts, </w:t>
      </w:r>
      <w:r>
        <w:t>A</w:t>
      </w:r>
      <w:r w:rsidR="00C22E65">
        <w:t>m</w:t>
      </w:r>
      <w:r>
        <w:t>herst, MA 01003.</w:t>
      </w:r>
    </w:p>
    <w:p w:rsidR="002C465F" w:rsidRDefault="005C3E1F" w:rsidP="002D369D">
      <w:pPr>
        <w:pStyle w:val="Authors"/>
      </w:pPr>
      <w:r>
        <w:t>2.</w:t>
      </w:r>
      <w:r w:rsidR="002C465F">
        <w:t xml:space="preserve"> IBM Microelectronics, E. Fishkill, NY </w:t>
      </w:r>
      <w:r w:rsidR="002C465F" w:rsidRPr="002C465F">
        <w:t>12533</w:t>
      </w:r>
      <w:r w:rsidR="002C465F">
        <w:t>.</w:t>
      </w:r>
      <w:r>
        <w:t xml:space="preserve"> </w:t>
      </w:r>
    </w:p>
    <w:p w:rsidR="00EF1123" w:rsidRDefault="002C465F" w:rsidP="002D369D">
      <w:pPr>
        <w:pStyle w:val="Authors"/>
      </w:pPr>
      <w:r>
        <w:t xml:space="preserve">3. </w:t>
      </w:r>
      <w:r w:rsidR="002D369D">
        <w:t>IBM Thomas J. Watson Research Center,</w:t>
      </w:r>
      <w:r w:rsidR="005C3E1F">
        <w:t xml:space="preserve"> Yorktown Heights, NY 10598</w:t>
      </w:r>
      <w:r w:rsidR="002D369D">
        <w:t>.</w:t>
      </w:r>
    </w:p>
    <w:p w:rsidR="00EF1123" w:rsidRDefault="00EF1123">
      <w:pPr>
        <w:pStyle w:val="Authors"/>
      </w:pPr>
    </w:p>
    <w:p w:rsidR="006B07F2" w:rsidRDefault="00092385" w:rsidP="00061F14">
      <w:pPr>
        <w:ind w:firstLine="360"/>
      </w:pPr>
      <w:r>
        <w:t>Graphene’</w:t>
      </w:r>
      <w:r w:rsidR="002D369D" w:rsidRPr="004B0638">
        <w:t xml:space="preserve">s unique and exceptional properties </w:t>
      </w:r>
      <w:r w:rsidR="002D369D" w:rsidRPr="00741363">
        <w:t>make it attractive for</w:t>
      </w:r>
      <w:r w:rsidR="002D369D" w:rsidRPr="004B0638">
        <w:t xml:space="preserve"> technological applications in many areas</w:t>
      </w:r>
      <w:r>
        <w:t>,</w:t>
      </w:r>
      <w:r w:rsidR="002D369D" w:rsidRPr="004B0638">
        <w:t xml:space="preserve"> </w:t>
      </w:r>
      <w:r w:rsidR="002D369D">
        <w:t xml:space="preserve">including </w:t>
      </w:r>
      <w:r w:rsidR="002D369D" w:rsidRPr="00741363">
        <w:t>high-speed electronics.</w:t>
      </w:r>
      <w:r w:rsidR="00836D87" w:rsidRPr="0086193B">
        <w:t xml:space="preserve"> </w:t>
      </w:r>
      <w:r>
        <w:t>The establishment of p</w:t>
      </w:r>
      <w:r w:rsidR="002D369D" w:rsidRPr="004B0638">
        <w:t xml:space="preserve">rocesses for </w:t>
      </w:r>
      <w:r>
        <w:t>producing high</w:t>
      </w:r>
      <w:r w:rsidR="00614C46">
        <w:t xml:space="preserve"> </w:t>
      </w:r>
      <w:r w:rsidR="002D369D">
        <w:t xml:space="preserve">quality, </w:t>
      </w:r>
      <w:r w:rsidR="002D369D" w:rsidRPr="004B0638">
        <w:t xml:space="preserve">large-scale graphene </w:t>
      </w:r>
      <w:r>
        <w:t>is</w:t>
      </w:r>
      <w:r w:rsidR="002D369D" w:rsidRPr="004B0638">
        <w:t xml:space="preserve"> necessary for </w:t>
      </w:r>
      <w:r w:rsidR="002D369D">
        <w:t>such applications to be enabled</w:t>
      </w:r>
      <w:r w:rsidR="002D369D" w:rsidRPr="004B0638">
        <w:t>.</w:t>
      </w:r>
      <w:r w:rsidR="003E724A" w:rsidRPr="0027183E">
        <w:rPr>
          <w:rStyle w:val="EndnoteReference"/>
          <w:color w:val="FFFFFF"/>
          <w:vertAlign w:val="superscript"/>
        </w:rPr>
        <w:endnoteReference w:id="1"/>
      </w:r>
      <w:r w:rsidR="00836D87">
        <w:t xml:space="preserve"> </w:t>
      </w:r>
      <w:r w:rsidR="002D369D">
        <w:t>Large area g</w:t>
      </w:r>
      <w:r w:rsidR="002D369D" w:rsidRPr="00741363">
        <w:t>rowth of graphene on the Si-</w:t>
      </w:r>
      <w:r w:rsidR="00536AF4">
        <w:t xml:space="preserve">terminated </w:t>
      </w:r>
      <w:r w:rsidR="002D369D" w:rsidRPr="00741363">
        <w:t>face of hexagonal SiC wafers</w:t>
      </w:r>
      <w:bookmarkStart w:id="0" w:name="_GoBack"/>
      <w:bookmarkEnd w:id="0"/>
      <w:r w:rsidR="002D369D" w:rsidRPr="00741363">
        <w:t xml:space="preserve"> exhibits manageable growth kinetics – contrary to the C-face – allowing good control over the number of graphene layers. </w:t>
      </w:r>
      <w:r w:rsidR="00536AF4">
        <w:t>Most importantly</w:t>
      </w:r>
      <w:r w:rsidR="00536AF4" w:rsidRPr="00741363">
        <w:t xml:space="preserve">, the azimuthal orientation of epi-graphene on the Si-face of </w:t>
      </w:r>
      <w:r w:rsidR="00536AF4">
        <w:t xml:space="preserve">a </w:t>
      </w:r>
      <w:r w:rsidR="00536AF4" w:rsidRPr="00741363">
        <w:t xml:space="preserve">SiC </w:t>
      </w:r>
      <w:r w:rsidR="00536AF4">
        <w:t xml:space="preserve">wafer </w:t>
      </w:r>
      <w:r w:rsidR="00536AF4" w:rsidRPr="00741363">
        <w:t xml:space="preserve">is </w:t>
      </w:r>
      <w:r w:rsidR="00536AF4">
        <w:t>fixed</w:t>
      </w:r>
      <w:r w:rsidR="00536AF4" w:rsidRPr="00741363">
        <w:t xml:space="preserve">. </w:t>
      </w:r>
      <w:r w:rsidR="002D369D" w:rsidRPr="00741363">
        <w:t>Th</w:t>
      </w:r>
      <w:r w:rsidR="00CB7312">
        <w:t>erefore</w:t>
      </w:r>
      <w:r w:rsidR="002D369D" w:rsidRPr="00741363">
        <w:t xml:space="preserve">, </w:t>
      </w:r>
      <w:r w:rsidR="00536AF4">
        <w:t>it</w:t>
      </w:r>
      <w:r w:rsidR="002D369D">
        <w:t xml:space="preserve"> </w:t>
      </w:r>
      <w:r w:rsidR="00CB7312">
        <w:t xml:space="preserve">is a </w:t>
      </w:r>
      <w:r w:rsidR="00CB7312" w:rsidRPr="00741363">
        <w:t xml:space="preserve">viable </w:t>
      </w:r>
      <w:r w:rsidR="002D369D">
        <w:t xml:space="preserve">method </w:t>
      </w:r>
      <w:r w:rsidR="00CB7312">
        <w:t>for producing</w:t>
      </w:r>
      <w:r w:rsidR="002D369D" w:rsidRPr="00741363">
        <w:t xml:space="preserve"> graphene with uniform coverage and structural coherence at wafer-scale. </w:t>
      </w:r>
    </w:p>
    <w:p w:rsidR="006D1175" w:rsidRDefault="006D1175" w:rsidP="00061F14">
      <w:pPr>
        <w:ind w:firstLine="360"/>
      </w:pPr>
      <w:r>
        <w:t xml:space="preserve">Graphene was grown on SiC with two methods: i) </w:t>
      </w:r>
      <w:r w:rsidR="002D369D" w:rsidRPr="00741363">
        <w:t xml:space="preserve">By combining </w:t>
      </w:r>
      <w:r w:rsidR="006B07F2">
        <w:t xml:space="preserve">SiC </w:t>
      </w:r>
      <w:r w:rsidR="002D369D" w:rsidRPr="00741363">
        <w:t xml:space="preserve">surface preparation steps </w:t>
      </w:r>
      <w:r w:rsidR="002D369D">
        <w:t>in</w:t>
      </w:r>
      <w:r w:rsidR="002D369D" w:rsidRPr="00741363">
        <w:t xml:space="preserve"> </w:t>
      </w:r>
      <w:r w:rsidR="002D369D">
        <w:t>disilane/He</w:t>
      </w:r>
      <w:r w:rsidR="002D369D" w:rsidRPr="00741363">
        <w:t xml:space="preserve"> with a higher temperature </w:t>
      </w:r>
      <w:r w:rsidR="006B07F2">
        <w:t xml:space="preserve">(T=1550 °C) </w:t>
      </w:r>
      <w:r w:rsidR="002D369D" w:rsidRPr="00741363">
        <w:t xml:space="preserve">graphenization step in Ar and </w:t>
      </w:r>
      <w:r>
        <w:t xml:space="preserve">ii) By </w:t>
      </w:r>
      <w:r w:rsidRPr="00741363">
        <w:t>H</w:t>
      </w:r>
      <w:r w:rsidRPr="00741363">
        <w:rPr>
          <w:vertAlign w:val="subscript"/>
        </w:rPr>
        <w:t>2</w:t>
      </w:r>
      <w:r>
        <w:t>-etching</w:t>
      </w:r>
      <w:r w:rsidRPr="00741363">
        <w:t xml:space="preserve"> </w:t>
      </w:r>
      <w:r>
        <w:t xml:space="preserve">SiC wafers </w:t>
      </w:r>
      <w:r w:rsidR="006B07F2">
        <w:t>at T&gt;150</w:t>
      </w:r>
      <w:r w:rsidR="006B07F2">
        <w:t>0 °C</w:t>
      </w:r>
      <w:r w:rsidR="006B07F2">
        <w:t xml:space="preserve"> </w:t>
      </w:r>
      <w:r>
        <w:t xml:space="preserve">to produce a vicinal, defect-free surface and then annealing that surface </w:t>
      </w:r>
      <w:r w:rsidR="006B07F2">
        <w:t>at T~</w:t>
      </w:r>
      <w:r w:rsidR="006B07F2">
        <w:t>15</w:t>
      </w:r>
      <w:r w:rsidR="006B07F2">
        <w:t>7</w:t>
      </w:r>
      <w:r w:rsidR="006B07F2">
        <w:t>5 °C</w:t>
      </w:r>
      <w:r w:rsidR="006B07F2">
        <w:t xml:space="preserve"> </w:t>
      </w:r>
      <w:r>
        <w:t>in</w:t>
      </w:r>
      <w:r>
        <w:t xml:space="preserve"> Ar atmosphere</w:t>
      </w:r>
      <w:r>
        <w:t xml:space="preserve"> (</w:t>
      </w:r>
      <w:r w:rsidR="006B07F2">
        <w:t>P</w:t>
      </w:r>
      <w:r>
        <w:t>~ 100 mbar)</w:t>
      </w:r>
      <w:r w:rsidR="006B07F2">
        <w:t>.</w:t>
      </w:r>
      <w:r>
        <w:t xml:space="preserve"> </w:t>
      </w:r>
    </w:p>
    <w:p w:rsidR="00C57E52" w:rsidRDefault="006B07F2" w:rsidP="00F438FB">
      <w:pPr>
        <w:ind w:firstLine="360"/>
        <w:rPr>
          <w:noProof/>
        </w:rPr>
      </w:pPr>
      <w:r>
        <w:t xml:space="preserve">After </w:t>
      </w:r>
      <w:r w:rsidR="002D369D" w:rsidRPr="00741363">
        <w:t xml:space="preserve">optimizing the process parameters for graphene growth on 4H(0001) SiC with 0.00° miscut, we have measured average Hall mobilities </w:t>
      </w:r>
      <w:r w:rsidR="002D369D" w:rsidRPr="00A44934">
        <w:rPr>
          <w:rFonts w:ascii="Symbol" w:hAnsi="Symbol"/>
        </w:rPr>
        <w:t></w:t>
      </w:r>
      <w:r w:rsidR="006D1175">
        <w:t xml:space="preserve"> </w:t>
      </w:r>
      <w:r w:rsidR="002D369D" w:rsidRPr="00741363">
        <w:t>up to 4900 cm</w:t>
      </w:r>
      <w:r w:rsidR="002D369D" w:rsidRPr="00741363">
        <w:rPr>
          <w:vertAlign w:val="superscript"/>
        </w:rPr>
        <w:t>2</w:t>
      </w:r>
      <w:r w:rsidR="002D369D" w:rsidRPr="00741363">
        <w:t xml:space="preserve"> V</w:t>
      </w:r>
      <w:r w:rsidR="002D369D" w:rsidRPr="00741363">
        <w:rPr>
          <w:vertAlign w:val="superscript"/>
        </w:rPr>
        <w:t>-1</w:t>
      </w:r>
      <w:r w:rsidR="002D369D" w:rsidRPr="00741363">
        <w:t xml:space="preserve"> s</w:t>
      </w:r>
      <w:r w:rsidR="002D369D" w:rsidRPr="00741363">
        <w:rPr>
          <w:vertAlign w:val="superscript"/>
        </w:rPr>
        <w:t xml:space="preserve">- 1 </w:t>
      </w:r>
      <w:r w:rsidR="002D369D" w:rsidRPr="00741363">
        <w:t xml:space="preserve">at sheet carrier densities </w:t>
      </w:r>
      <w:r w:rsidR="002D369D">
        <w:t>N</w:t>
      </w:r>
      <w:r w:rsidR="006D1175">
        <w:t xml:space="preserve"> </w:t>
      </w:r>
      <w:r w:rsidR="002D369D">
        <w:t>~</w:t>
      </w:r>
      <w:r w:rsidR="006D1175">
        <w:t xml:space="preserve"> </w:t>
      </w:r>
      <w:r w:rsidR="002D369D" w:rsidRPr="00741363">
        <w:t>4x10</w:t>
      </w:r>
      <w:r w:rsidR="002D369D" w:rsidRPr="00741363">
        <w:rPr>
          <w:vertAlign w:val="superscript"/>
        </w:rPr>
        <w:t>11</w:t>
      </w:r>
      <w:r w:rsidR="002D369D" w:rsidRPr="00741363">
        <w:t xml:space="preserve"> cm</w:t>
      </w:r>
      <w:r w:rsidR="002D369D" w:rsidRPr="00741363">
        <w:rPr>
          <w:vertAlign w:val="superscript"/>
        </w:rPr>
        <w:t>-2</w:t>
      </w:r>
      <w:r w:rsidR="002D369D" w:rsidRPr="00125869">
        <w:t xml:space="preserve"> </w:t>
      </w:r>
      <w:r w:rsidR="002D369D" w:rsidRPr="00741363">
        <w:t>after a long exposure to ambient atmosphere</w:t>
      </w:r>
      <w:r w:rsidR="002D369D">
        <w:t>. Th</w:t>
      </w:r>
      <w:r w:rsidR="006D1175">
        <w:t>is</w:t>
      </w:r>
      <w:r w:rsidR="002D369D">
        <w:t xml:space="preserve"> mobility is</w:t>
      </w:r>
      <w:r w:rsidR="00061F14">
        <w:t xml:space="preserve"> higher and the electron density </w:t>
      </w:r>
      <w:r w:rsidR="002D369D">
        <w:t>lower tha</w:t>
      </w:r>
      <w:r w:rsidR="00CB7312">
        <w:t>n</w:t>
      </w:r>
      <w:r w:rsidR="002D369D">
        <w:t xml:space="preserve"> the freshly made devices. The </w:t>
      </w:r>
      <w:r w:rsidR="00536AF4">
        <w:t xml:space="preserve">strong </w:t>
      </w:r>
      <w:r w:rsidR="002D369D">
        <w:t xml:space="preserve">n-type character of pristine graphene on SiC (0001) is </w:t>
      </w:r>
      <w:r w:rsidR="00F438FB">
        <w:t>due to the dangling b</w:t>
      </w:r>
      <w:r w:rsidR="002D369D">
        <w:t xml:space="preserve">onds below the </w:t>
      </w:r>
      <w:r w:rsidR="003D5D7E" w:rsidRPr="00B44C5A">
        <w:rPr>
          <w:rFonts w:eastAsia="Times New Roman"/>
          <w:position w:val="-18"/>
        </w:rPr>
        <w:object w:dxaOrig="166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35pt;height:20.8pt" o:ole="">
            <v:imagedata r:id="rId7" o:title=""/>
          </v:shape>
          <o:OLEObject Type="Embed" ProgID="Equation.DSMT4" ShapeID="_x0000_i1025" DrawAspect="Content" ObjectID="_1461431536" r:id="rId8"/>
        </w:object>
      </w:r>
      <w:r w:rsidR="002D369D">
        <w:rPr>
          <w:rFonts w:eastAsia="Times New Roman"/>
        </w:rPr>
        <w:t xml:space="preserve"> </w:t>
      </w:r>
      <w:r w:rsidR="002D369D" w:rsidRPr="00871948">
        <w:rPr>
          <w:rFonts w:eastAsia="Times New Roman"/>
        </w:rPr>
        <w:t xml:space="preserve">reconstruction </w:t>
      </w:r>
      <w:r w:rsidR="002D369D">
        <w:rPr>
          <w:rFonts w:eastAsia="Times New Roman"/>
        </w:rPr>
        <w:t>(</w:t>
      </w:r>
      <w:r w:rsidR="002D369D" w:rsidRPr="00871948">
        <w:t>buff</w:t>
      </w:r>
      <w:r w:rsidR="002D369D">
        <w:t>er layer), which act a</w:t>
      </w:r>
      <w:r w:rsidR="003D5D7E">
        <w:t xml:space="preserve">s positively charged traps. The </w:t>
      </w:r>
      <w:r w:rsidR="002D369D">
        <w:t xml:space="preserve">reduction in N by ambient exposure </w:t>
      </w:r>
      <w:r w:rsidR="006D1175">
        <w:t>is linked to</w:t>
      </w:r>
      <w:r w:rsidR="002D369D" w:rsidRPr="001B05FF">
        <w:t xml:space="preserve"> the oxygen </w:t>
      </w:r>
      <w:r w:rsidR="006D1175">
        <w:t>and</w:t>
      </w:r>
      <w:r w:rsidR="002D369D" w:rsidRPr="001B05FF">
        <w:t xml:space="preserve"> water adsorbed </w:t>
      </w:r>
      <w:r w:rsidR="002D369D">
        <w:t>onto the graphene surface</w:t>
      </w:r>
      <w:r w:rsidR="002D369D" w:rsidRPr="00741363">
        <w:t xml:space="preserve">. </w:t>
      </w:r>
      <w:r w:rsidR="002D369D">
        <w:t xml:space="preserve">We </w:t>
      </w:r>
      <w:r w:rsidR="006D1175">
        <w:t xml:space="preserve">can </w:t>
      </w:r>
      <w:r w:rsidR="002D369D">
        <w:t>explain the</w:t>
      </w:r>
      <w:r w:rsidR="002D369D" w:rsidRPr="00741363">
        <w:t xml:space="preserve"> large improvement in mobility</w:t>
      </w:r>
      <w:r w:rsidR="002D369D">
        <w:t xml:space="preserve"> with reduced N by</w:t>
      </w:r>
      <w:r w:rsidR="002D369D" w:rsidRPr="00741363">
        <w:t xml:space="preserve"> taking into account </w:t>
      </w:r>
      <w:r w:rsidR="002D369D">
        <w:t xml:space="preserve">several factors, including long-range </w:t>
      </w:r>
      <w:r w:rsidR="002D369D" w:rsidRPr="00741363">
        <w:t>Coulomb scattering and short-range scattering.</w:t>
      </w:r>
      <w:r w:rsidR="000A7F3C" w:rsidRPr="00741363">
        <w:t xml:space="preserve"> </w:t>
      </w:r>
      <w:r w:rsidR="002D369D" w:rsidRPr="00741363">
        <w:t xml:space="preserve">A plot of </w:t>
      </w:r>
      <w:r w:rsidR="002D369D" w:rsidRPr="00A44934">
        <w:rPr>
          <w:rFonts w:ascii="Symbol" w:hAnsi="Symbol"/>
        </w:rPr>
        <w:t></w:t>
      </w:r>
      <w:r w:rsidR="002D369D" w:rsidRPr="00741363">
        <w:t xml:space="preserve"> vs. </w:t>
      </w:r>
      <w:r w:rsidR="002D369D">
        <w:t>N</w:t>
      </w:r>
      <w:r w:rsidR="002D369D" w:rsidRPr="00741363">
        <w:t xml:space="preserve"> will be introduced as a benchmark of epi-</w:t>
      </w:r>
      <w:r w:rsidR="002D369D">
        <w:t>graphene quality.</w:t>
      </w:r>
      <w:r w:rsidR="000A7F3C">
        <w:t xml:space="preserve"> </w:t>
      </w:r>
      <w:r w:rsidR="002D369D">
        <w:t>A</w:t>
      </w:r>
      <w:r w:rsidR="002D369D">
        <w:rPr>
          <w:noProof/>
        </w:rPr>
        <w:t>fter H</w:t>
      </w:r>
      <w:r w:rsidR="002D369D" w:rsidRPr="00766AB7">
        <w:rPr>
          <w:noProof/>
          <w:vertAlign w:val="subscript"/>
        </w:rPr>
        <w:t>2</w:t>
      </w:r>
      <w:r w:rsidR="002D369D">
        <w:rPr>
          <w:noProof/>
        </w:rPr>
        <w:t xml:space="preserve"> intercalation</w:t>
      </w:r>
      <w:r>
        <w:rPr>
          <w:noProof/>
        </w:rPr>
        <w:t>,</w:t>
      </w:r>
      <w:r w:rsidR="002D369D">
        <w:t xml:space="preserve"> </w:t>
      </w:r>
      <w:r>
        <w:t>our</w:t>
      </w:r>
      <w:r w:rsidR="002D369D">
        <w:t xml:space="preserve"> e</w:t>
      </w:r>
      <w:r w:rsidR="002D369D">
        <w:rPr>
          <w:noProof/>
        </w:rPr>
        <w:t xml:space="preserve">pi-graphene </w:t>
      </w:r>
      <w:r w:rsidR="00CB7312">
        <w:rPr>
          <w:noProof/>
        </w:rPr>
        <w:t xml:space="preserve">becomes p-type and </w:t>
      </w:r>
      <w:r w:rsidR="002D369D">
        <w:rPr>
          <w:noProof/>
        </w:rPr>
        <w:t>exhibits a</w:t>
      </w:r>
      <w:r w:rsidR="00CB7312">
        <w:rPr>
          <w:noProof/>
        </w:rPr>
        <w:t xml:space="preserve"> </w:t>
      </w:r>
      <w:r>
        <w:rPr>
          <w:noProof/>
        </w:rPr>
        <w:t>record</w:t>
      </w:r>
      <w:r w:rsidR="002D369D">
        <w:rPr>
          <w:noProof/>
        </w:rPr>
        <w:t xml:space="preserve"> combination of high mobility and high hole density</w:t>
      </w:r>
      <w:r w:rsidR="00CB7312">
        <w:rPr>
          <w:noProof/>
        </w:rPr>
        <w:t xml:space="preserve"> (far above the benchmark curve)</w:t>
      </w:r>
      <w:r w:rsidR="002D369D">
        <w:rPr>
          <w:noProof/>
        </w:rPr>
        <w:t xml:space="preserve">. </w:t>
      </w:r>
    </w:p>
    <w:sectPr w:rsidR="00C57E52">
      <w:endnotePr>
        <w:numFmt w:val="decimal"/>
      </w:endnotePr>
      <w:pgSz w:w="11906" w:h="16838"/>
      <w:pgMar w:top="1134" w:right="1134" w:bottom="1134" w:left="1134" w:header="720" w:footer="72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1AF" w:rsidRDefault="006A51AF">
      <w:r>
        <w:separator/>
      </w:r>
    </w:p>
  </w:endnote>
  <w:endnote w:type="continuationSeparator" w:id="0">
    <w:p w:rsidR="006A51AF" w:rsidRDefault="006A51AF">
      <w:r>
        <w:continuationSeparator/>
      </w:r>
    </w:p>
  </w:endnote>
  <w:endnote w:id="1">
    <w:p w:rsidR="00F767A3" w:rsidRDefault="00F767A3">
      <w:pPr>
        <w:pStyle w:val="EndnoteText"/>
      </w:pPr>
      <w:r w:rsidRPr="001A5207">
        <w:rPr>
          <w:i/>
          <w:iCs/>
        </w:rPr>
        <w:t>Support by DARPA Contracts FA8650-08-C-7838 &amp; HR0011-12-C-0038 is gratefully acknowledged</w:t>
      </w:r>
      <w:r>
        <w:rPr>
          <w:i/>
          <w:iCs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1AF" w:rsidRDefault="006A51AF">
      <w:r>
        <w:separator/>
      </w:r>
    </w:p>
  </w:footnote>
  <w:footnote w:type="continuationSeparator" w:id="0">
    <w:p w:rsidR="006A51AF" w:rsidRDefault="006A5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2183B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E4C42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3E8DD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B063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422DF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E7E13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68FE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006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AC1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7C26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8C6"/>
    <w:rsid w:val="000038C6"/>
    <w:rsid w:val="00061F14"/>
    <w:rsid w:val="00092385"/>
    <w:rsid w:val="000A7F3C"/>
    <w:rsid w:val="000D3096"/>
    <w:rsid w:val="0027183E"/>
    <w:rsid w:val="002C465F"/>
    <w:rsid w:val="002D369D"/>
    <w:rsid w:val="003D5D7E"/>
    <w:rsid w:val="003E724A"/>
    <w:rsid w:val="00536AF4"/>
    <w:rsid w:val="005C3E1F"/>
    <w:rsid w:val="00614C46"/>
    <w:rsid w:val="00644234"/>
    <w:rsid w:val="00644538"/>
    <w:rsid w:val="006A51AF"/>
    <w:rsid w:val="006B07F2"/>
    <w:rsid w:val="006D1175"/>
    <w:rsid w:val="00742480"/>
    <w:rsid w:val="00836D87"/>
    <w:rsid w:val="0086193B"/>
    <w:rsid w:val="009B4244"/>
    <w:rsid w:val="00B54A47"/>
    <w:rsid w:val="00C22E65"/>
    <w:rsid w:val="00C57E52"/>
    <w:rsid w:val="00C77C91"/>
    <w:rsid w:val="00CB4419"/>
    <w:rsid w:val="00CB7312"/>
    <w:rsid w:val="00CE706F"/>
    <w:rsid w:val="00D05E91"/>
    <w:rsid w:val="00D24D4B"/>
    <w:rsid w:val="00D966FA"/>
    <w:rsid w:val="00DE42EF"/>
    <w:rsid w:val="00EA2D39"/>
    <w:rsid w:val="00EF1123"/>
    <w:rsid w:val="00F438FB"/>
    <w:rsid w:val="00F71AB7"/>
    <w:rsid w:val="00F7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B39F870A-37AB-4CCA-BBF9-BF8D618A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jc w:val="both"/>
    </w:pPr>
    <w:rPr>
      <w:rFonts w:eastAsia="MS Mincho"/>
      <w:kern w:val="1"/>
      <w:sz w:val="22"/>
      <w:szCs w:val="22"/>
    </w:rPr>
  </w:style>
  <w:style w:type="paragraph" w:styleId="Heading5">
    <w:name w:val="heading 5"/>
    <w:basedOn w:val="Normal"/>
    <w:next w:val="BodyText"/>
    <w:qFormat/>
    <w:pPr>
      <w:keepNext/>
      <w:numPr>
        <w:ilvl w:val="4"/>
        <w:numId w:val="1"/>
      </w:numPr>
      <w:outlineLvl w:val="4"/>
    </w:pPr>
    <w:rPr>
      <w:rFonts w:ascii="Arial" w:hAnsi="Arial"/>
      <w:b/>
      <w:bCs/>
      <w:sz w:val="20"/>
      <w:szCs w:val="20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berschrift5Zchn">
    <w:name w:val="Überschrift 5 Zchn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NurTextZchn">
    <w:name w:val="Nur Text Zchn"/>
    <w:rPr>
      <w:rFonts w:ascii="Courier New" w:hAnsi="Courier New" w:cs="Courier New"/>
      <w:lang w:val="en-US" w:eastAsia="en-US"/>
    </w:rPr>
  </w:style>
  <w:style w:type="character" w:styleId="Hyperlink">
    <w:name w:val="Hyperlink"/>
    <w:rPr>
      <w:color w:val="0000FF"/>
      <w:u w:val="single"/>
      <w:lang/>
    </w:rPr>
  </w:style>
  <w:style w:type="character" w:customStyle="1" w:styleId="FollowedHyperlink1">
    <w:name w:val="FollowedHyperlink1"/>
    <w:rPr>
      <w:color w:val="800080"/>
      <w:u w:val="single"/>
    </w:rPr>
  </w:style>
  <w:style w:type="character" w:customStyle="1" w:styleId="KopfzeileZchn">
    <w:name w:val="Kopfzeile Zchn"/>
    <w:rPr>
      <w:sz w:val="22"/>
      <w:szCs w:val="22"/>
      <w:lang w:val="en-US" w:eastAsia="en-US"/>
    </w:rPr>
  </w:style>
  <w:style w:type="character" w:customStyle="1" w:styleId="FuzeileZchn">
    <w:name w:val="Fußzeile Zchn"/>
    <w:rPr>
      <w:sz w:val="22"/>
      <w:szCs w:val="22"/>
      <w:lang w:val="en-US" w:eastAsia="en-US"/>
    </w:rPr>
  </w:style>
  <w:style w:type="character" w:customStyle="1" w:styleId="SprechblasentextZchn">
    <w:name w:val="Sprechblasentext Zchn"/>
    <w:rPr>
      <w:rFonts w:ascii="Tahoma" w:hAnsi="Tahoma" w:cs="Tahoma"/>
      <w:sz w:val="16"/>
      <w:szCs w:val="16"/>
      <w:lang w:val="en-US" w:eastAsia="en-US"/>
    </w:rPr>
  </w:style>
  <w:style w:type="character" w:customStyle="1" w:styleId="TitelZchn">
    <w:name w:val="Titel Zchn"/>
    <w:rPr>
      <w:b/>
      <w:sz w:val="24"/>
      <w:lang w:val="en-US" w:eastAsia="en-US"/>
    </w:rPr>
  </w:style>
  <w:style w:type="character" w:customStyle="1" w:styleId="AuthorsZchn">
    <w:name w:val="Authors Zchn"/>
    <w:rPr>
      <w:sz w:val="24"/>
      <w:lang w:val="en-US" w:eastAsia="en-US"/>
    </w:rPr>
  </w:style>
  <w:style w:type="character" w:styleId="SubtleEmphasis">
    <w:name w:val="Subtle Emphasis"/>
    <w:qFormat/>
    <w:rPr>
      <w:rFonts w:eastAsia="Batang"/>
      <w:sz w:val="18"/>
      <w:lang w:val="en-US"/>
    </w:rPr>
  </w:style>
  <w:style w:type="character" w:customStyle="1" w:styleId="KeywordsZchn">
    <w:name w:val="Keywords Zchn"/>
    <w:rPr>
      <w:i/>
      <w:sz w:val="24"/>
      <w:lang w:val="en-US" w:eastAsia="ja-JP"/>
    </w:rPr>
  </w:style>
  <w:style w:type="character" w:customStyle="1" w:styleId="ReferencesZchn">
    <w:name w:val="References Zchn"/>
    <w:rPr>
      <w:rFonts w:cs="Times New Roman"/>
      <w:sz w:val="22"/>
      <w:szCs w:val="22"/>
      <w:lang w:val="en-US" w:eastAsia="en-U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PlainText1">
    <w:name w:val="Plain Text1"/>
    <w:basedOn w:val="Normal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suppressLineNumbers/>
      <w:tabs>
        <w:tab w:val="center" w:pos="4320"/>
        <w:tab w:val="right" w:pos="8640"/>
      </w:tabs>
    </w:pPr>
  </w:style>
  <w:style w:type="paragraph" w:customStyle="1" w:styleId="caption0">
    <w:name w:val="caption"/>
    <w:basedOn w:val="Normal"/>
    <w:pPr>
      <w:spacing w:before="120" w:after="120"/>
    </w:pPr>
    <w:rPr>
      <w:b/>
      <w:bCs/>
      <w:sz w:val="20"/>
      <w:szCs w:val="20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styleId="Title">
    <w:name w:val="Title"/>
    <w:basedOn w:val="Heading5"/>
    <w:next w:val="Subtitle"/>
    <w:qFormat/>
    <w:pPr>
      <w:numPr>
        <w:numId w:val="0"/>
      </w:numPr>
      <w:jc w:val="center"/>
      <w:outlineLvl w:val="9"/>
    </w:pPr>
    <w:rPr>
      <w:rFonts w:ascii="Times New Roman" w:hAnsi="Times New Roman"/>
      <w:sz w:val="24"/>
      <w:szCs w:val="36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ListParagraph">
    <w:name w:val="List Paragraph"/>
    <w:basedOn w:val="Normal"/>
    <w:qFormat/>
    <w:pPr>
      <w:ind w:left="708"/>
    </w:pPr>
  </w:style>
  <w:style w:type="paragraph" w:customStyle="1" w:styleId="Authors">
    <w:name w:val="Authors"/>
    <w:basedOn w:val="Normal"/>
    <w:pPr>
      <w:jc w:val="center"/>
    </w:pPr>
  </w:style>
  <w:style w:type="paragraph" w:customStyle="1" w:styleId="Keywords">
    <w:name w:val="Keywords"/>
    <w:basedOn w:val="Normal"/>
    <w:rPr>
      <w:i/>
      <w:lang w:eastAsia="ja-JP"/>
    </w:rPr>
  </w:style>
  <w:style w:type="paragraph" w:customStyle="1" w:styleId="References">
    <w:name w:val="References"/>
    <w:basedOn w:val="Normal"/>
    <w:pPr>
      <w:ind w:left="426" w:hanging="426"/>
    </w:pPr>
  </w:style>
  <w:style w:type="character" w:styleId="EndnoteReference">
    <w:name w:val="endnote reference"/>
    <w:rsid w:val="002D369D"/>
  </w:style>
  <w:style w:type="paragraph" w:styleId="EndnoteText">
    <w:name w:val="endnote text"/>
    <w:basedOn w:val="Normal"/>
    <w:semiHidden/>
    <w:rsid w:val="002D369D"/>
    <w:pPr>
      <w:suppressAutoHyphens w:val="0"/>
      <w:jc w:val="left"/>
    </w:pPr>
    <w:rPr>
      <w:kern w:val="0"/>
      <w:sz w:val="20"/>
      <w:szCs w:val="20"/>
      <w:lang w:eastAsia="ja-JP"/>
    </w:rPr>
  </w:style>
  <w:style w:type="character" w:styleId="Strong">
    <w:name w:val="Strong"/>
    <w:basedOn w:val="DefaultParagraphFont"/>
    <w:qFormat/>
    <w:rsid w:val="002D369D"/>
    <w:rPr>
      <w:b/>
      <w:bCs/>
    </w:rPr>
  </w:style>
  <w:style w:type="character" w:styleId="Emphasis">
    <w:name w:val="Emphasis"/>
    <w:basedOn w:val="DefaultParagraphFont"/>
    <w:qFormat/>
    <w:rsid w:val="002D369D"/>
    <w:rPr>
      <w:b/>
      <w:bCs/>
      <w:i w:val="0"/>
      <w:iCs w:val="0"/>
    </w:rPr>
  </w:style>
  <w:style w:type="paragraph" w:styleId="BalloonText">
    <w:name w:val="Balloon Text"/>
    <w:basedOn w:val="Normal"/>
    <w:semiHidden/>
    <w:rsid w:val="006445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8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%</vt:lpstr>
    </vt:vector>
  </TitlesOfParts>
  <Company>TU Chemnitz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</dc:title>
  <dc:subject/>
  <dc:creator>Admin1</dc:creator>
  <cp:keywords/>
  <cp:lastModifiedBy>Christos Dimitrakopoulos</cp:lastModifiedBy>
  <cp:revision>2</cp:revision>
  <cp:lastPrinted>2013-03-30T05:27:00Z</cp:lastPrinted>
  <dcterms:created xsi:type="dcterms:W3CDTF">2014-05-13T00:26:00Z</dcterms:created>
  <dcterms:modified xsi:type="dcterms:W3CDTF">2014-05-13T00:26:00Z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RMIT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