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B88" w:rsidRPr="00EB4B88" w:rsidRDefault="00EB4B88" w:rsidP="00EB4B88">
      <w:pPr>
        <w:pStyle w:val="TitleNACSAbstract"/>
        <w:rPr>
          <w:sz w:val="24"/>
          <w:szCs w:val="24"/>
        </w:rPr>
      </w:pPr>
      <w:r w:rsidRPr="00EB4B88">
        <w:rPr>
          <w:sz w:val="24"/>
          <w:szCs w:val="24"/>
        </w:rPr>
        <w:t>Bimetallic Pt-Pd Catalyst kinetics for CO and C</w:t>
      </w:r>
      <w:r w:rsidRPr="00EB4B88">
        <w:rPr>
          <w:sz w:val="24"/>
          <w:szCs w:val="24"/>
          <w:vertAlign w:val="subscript"/>
        </w:rPr>
        <w:t>3</w:t>
      </w:r>
      <w:r w:rsidRPr="00EB4B88">
        <w:rPr>
          <w:sz w:val="24"/>
          <w:szCs w:val="24"/>
        </w:rPr>
        <w:t>H</w:t>
      </w:r>
      <w:r w:rsidRPr="00EB4B88">
        <w:rPr>
          <w:sz w:val="24"/>
          <w:szCs w:val="24"/>
          <w:vertAlign w:val="subscript"/>
        </w:rPr>
        <w:t>6</w:t>
      </w:r>
      <w:r w:rsidRPr="00EB4B88">
        <w:rPr>
          <w:sz w:val="24"/>
          <w:szCs w:val="24"/>
        </w:rPr>
        <w:t xml:space="preserve"> Oxidation in Diesel Oxidation Catalysts (DOC) </w:t>
      </w:r>
    </w:p>
    <w:p w:rsidR="00EB4B88" w:rsidRPr="00EB4B88" w:rsidRDefault="00EB4B88" w:rsidP="00EB4B88">
      <w:pPr>
        <w:jc w:val="center"/>
        <w:rPr>
          <w:sz w:val="24"/>
          <w:szCs w:val="24"/>
        </w:rPr>
      </w:pPr>
    </w:p>
    <w:p w:rsidR="00EB4B88" w:rsidRPr="00EB4B88" w:rsidRDefault="00EB4B88" w:rsidP="00EB4B88">
      <w:pPr>
        <w:pStyle w:val="AuthorsNACS"/>
        <w:rPr>
          <w:sz w:val="24"/>
          <w:szCs w:val="24"/>
        </w:rPr>
      </w:pPr>
      <w:r w:rsidRPr="00EB4B88">
        <w:rPr>
          <w:sz w:val="24"/>
          <w:szCs w:val="24"/>
        </w:rPr>
        <w:t>Melanie J. Hazlett and William S. Epling</w:t>
      </w:r>
    </w:p>
    <w:p w:rsidR="00EB4B88" w:rsidRPr="00EB4B88" w:rsidRDefault="00EB4B88" w:rsidP="00EB4B88">
      <w:pPr>
        <w:pStyle w:val="AuthorAddressNACS"/>
        <w:rPr>
          <w:sz w:val="24"/>
          <w:szCs w:val="24"/>
        </w:rPr>
      </w:pPr>
      <w:r w:rsidRPr="00EB4B88">
        <w:rPr>
          <w:sz w:val="24"/>
          <w:szCs w:val="24"/>
        </w:rPr>
        <w:t>University of Houston, Houston, TX (USA)</w:t>
      </w:r>
    </w:p>
    <w:p w:rsidR="00EB4B88" w:rsidRPr="00EB4B88" w:rsidRDefault="00EB4B88" w:rsidP="00EB4B88">
      <w:pPr>
        <w:jc w:val="center"/>
        <w:rPr>
          <w:sz w:val="24"/>
          <w:szCs w:val="24"/>
        </w:rPr>
      </w:pPr>
      <w:r w:rsidRPr="00EB4B88">
        <w:rPr>
          <w:sz w:val="24"/>
          <w:szCs w:val="24"/>
        </w:rPr>
        <w:t>*</w:t>
      </w:r>
      <w:r>
        <w:rPr>
          <w:sz w:val="24"/>
          <w:szCs w:val="24"/>
        </w:rPr>
        <w:t>wsepling</w:t>
      </w:r>
      <w:r w:rsidRPr="00EB4B88">
        <w:rPr>
          <w:sz w:val="24"/>
          <w:szCs w:val="24"/>
        </w:rPr>
        <w:t>@uh.edu</w:t>
      </w:r>
    </w:p>
    <w:p w:rsidR="00EB4B88" w:rsidRPr="00EB4B88" w:rsidRDefault="00EB4B88" w:rsidP="00EB4B88">
      <w:pPr>
        <w:jc w:val="center"/>
        <w:rPr>
          <w:sz w:val="24"/>
          <w:szCs w:val="24"/>
        </w:rPr>
      </w:pPr>
    </w:p>
    <w:p w:rsidR="00EB4B88" w:rsidRPr="00EB4B88" w:rsidRDefault="00EB4B88" w:rsidP="00EB4B88">
      <w:pPr>
        <w:jc w:val="both"/>
        <w:rPr>
          <w:b/>
          <w:sz w:val="24"/>
          <w:szCs w:val="24"/>
        </w:rPr>
      </w:pPr>
      <w:r w:rsidRPr="00EB4B88">
        <w:rPr>
          <w:b/>
          <w:sz w:val="24"/>
          <w:szCs w:val="24"/>
        </w:rPr>
        <w:t>Introduction</w:t>
      </w:r>
    </w:p>
    <w:p w:rsidR="00EB4B88" w:rsidRPr="00EB4B88" w:rsidRDefault="003F05AC" w:rsidP="00EB4B88">
      <w:pPr>
        <w:pStyle w:val="BodyTextNACS"/>
        <w:ind w:firstLine="720"/>
        <w:rPr>
          <w:sz w:val="24"/>
          <w:szCs w:val="24"/>
        </w:rPr>
      </w:pPr>
      <w:r>
        <w:rPr>
          <w:sz w:val="24"/>
          <w:szCs w:val="24"/>
        </w:rPr>
        <w:t>Today’s d</w:t>
      </w:r>
      <w:r w:rsidR="00EB4B88" w:rsidRPr="00EB4B88">
        <w:rPr>
          <w:sz w:val="24"/>
          <w:szCs w:val="24"/>
        </w:rPr>
        <w:t xml:space="preserve">iesel engines are more fuel efficient than gasoline engines, </w:t>
      </w:r>
      <w:r>
        <w:rPr>
          <w:sz w:val="24"/>
          <w:szCs w:val="24"/>
        </w:rPr>
        <w:t xml:space="preserve">but </w:t>
      </w:r>
      <w:r w:rsidR="00EB4B88" w:rsidRPr="00EB4B88">
        <w:rPr>
          <w:sz w:val="24"/>
          <w:szCs w:val="24"/>
        </w:rPr>
        <w:t xml:space="preserve">even so increases in fuel economy are needed.  </w:t>
      </w:r>
      <w:r w:rsidR="002E21E3">
        <w:rPr>
          <w:sz w:val="24"/>
          <w:szCs w:val="24"/>
        </w:rPr>
        <w:t>With this in mind and d</w:t>
      </w:r>
      <w:r w:rsidR="00EB4B88" w:rsidRPr="00EB4B88">
        <w:rPr>
          <w:sz w:val="24"/>
          <w:szCs w:val="24"/>
        </w:rPr>
        <w:t>ue to increasingly stringent environmental policies on NO</w:t>
      </w:r>
      <w:r w:rsidR="00EB4B88" w:rsidRPr="00EB4B88">
        <w:rPr>
          <w:sz w:val="24"/>
          <w:szCs w:val="24"/>
          <w:vertAlign w:val="subscript"/>
        </w:rPr>
        <w:t>X</w:t>
      </w:r>
      <w:r w:rsidR="00EB4B88" w:rsidRPr="00EB4B88">
        <w:rPr>
          <w:sz w:val="24"/>
          <w:szCs w:val="24"/>
        </w:rPr>
        <w:t xml:space="preserve">, </w:t>
      </w:r>
      <w:r w:rsidR="002E21E3">
        <w:rPr>
          <w:sz w:val="24"/>
          <w:szCs w:val="24"/>
        </w:rPr>
        <w:t>hydrocarbons (</w:t>
      </w:r>
      <w:r w:rsidR="00EB4B88" w:rsidRPr="00EB4B88">
        <w:rPr>
          <w:sz w:val="24"/>
          <w:szCs w:val="24"/>
        </w:rPr>
        <w:t>HC</w:t>
      </w:r>
      <w:r w:rsidR="002E21E3">
        <w:rPr>
          <w:sz w:val="24"/>
          <w:szCs w:val="24"/>
        </w:rPr>
        <w:t>)</w:t>
      </w:r>
      <w:r w:rsidR="00EB4B88" w:rsidRPr="00EB4B88">
        <w:rPr>
          <w:sz w:val="24"/>
          <w:szCs w:val="24"/>
        </w:rPr>
        <w:t>, CO, CO</w:t>
      </w:r>
      <w:r w:rsidR="00EB4B88" w:rsidRPr="00EB4B88">
        <w:rPr>
          <w:sz w:val="24"/>
          <w:szCs w:val="24"/>
          <w:vertAlign w:val="subscript"/>
        </w:rPr>
        <w:t>2</w:t>
      </w:r>
      <w:r w:rsidR="00EB4B88" w:rsidRPr="00EB4B88">
        <w:rPr>
          <w:sz w:val="24"/>
          <w:szCs w:val="24"/>
        </w:rPr>
        <w:t xml:space="preserve"> and </w:t>
      </w:r>
      <w:r w:rsidR="002E21E3">
        <w:rPr>
          <w:sz w:val="24"/>
          <w:szCs w:val="24"/>
        </w:rPr>
        <w:t>particulate matter (</w:t>
      </w:r>
      <w:r w:rsidR="00EB4B88" w:rsidRPr="00EB4B88">
        <w:rPr>
          <w:sz w:val="24"/>
          <w:szCs w:val="24"/>
        </w:rPr>
        <w:t>PM</w:t>
      </w:r>
      <w:r w:rsidR="002E21E3">
        <w:rPr>
          <w:sz w:val="24"/>
          <w:szCs w:val="24"/>
        </w:rPr>
        <w:t>)</w:t>
      </w:r>
      <w:r w:rsidR="00EB4B88" w:rsidRPr="00EB4B88">
        <w:rPr>
          <w:sz w:val="24"/>
          <w:szCs w:val="24"/>
        </w:rPr>
        <w:t xml:space="preserve"> emissions from diesel engines, low temperature combustion (LTC) engines have been developed.  The emissions from these LTC engines have </w:t>
      </w:r>
      <w:r w:rsidR="002E21E3">
        <w:rPr>
          <w:sz w:val="24"/>
          <w:szCs w:val="24"/>
        </w:rPr>
        <w:t xml:space="preserve">significantly </w:t>
      </w:r>
      <w:r w:rsidR="00EB4B88" w:rsidRPr="00EB4B88">
        <w:rPr>
          <w:sz w:val="24"/>
          <w:szCs w:val="24"/>
        </w:rPr>
        <w:t xml:space="preserve">lower concentrations of </w:t>
      </w:r>
      <w:r w:rsidR="002E21E3">
        <w:rPr>
          <w:sz w:val="24"/>
          <w:szCs w:val="24"/>
        </w:rPr>
        <w:t xml:space="preserve">emitted </w:t>
      </w:r>
      <w:r w:rsidR="00EB4B88" w:rsidRPr="00EB4B88">
        <w:rPr>
          <w:sz w:val="24"/>
          <w:szCs w:val="24"/>
        </w:rPr>
        <w:t>NO</w:t>
      </w:r>
      <w:r w:rsidR="00EB4B88" w:rsidRPr="00EB4B88">
        <w:rPr>
          <w:sz w:val="24"/>
          <w:szCs w:val="24"/>
          <w:vertAlign w:val="subscript"/>
        </w:rPr>
        <w:t>X</w:t>
      </w:r>
      <w:r w:rsidR="00EB4B88" w:rsidRPr="00EB4B88">
        <w:rPr>
          <w:sz w:val="24"/>
          <w:szCs w:val="24"/>
        </w:rPr>
        <w:t xml:space="preserve"> </w:t>
      </w:r>
      <w:r w:rsidR="002E21E3">
        <w:rPr>
          <w:sz w:val="24"/>
          <w:szCs w:val="24"/>
        </w:rPr>
        <w:t>(</w:t>
      </w:r>
      <w:r w:rsidR="00EB4B88" w:rsidRPr="00EB4B88">
        <w:rPr>
          <w:sz w:val="24"/>
          <w:szCs w:val="24"/>
        </w:rPr>
        <w:t>by a factor of 6</w:t>
      </w:r>
      <w:r w:rsidR="002E21E3">
        <w:rPr>
          <w:sz w:val="24"/>
          <w:szCs w:val="24"/>
        </w:rPr>
        <w:t>)</w:t>
      </w:r>
      <w:r w:rsidR="00EB4B88" w:rsidRPr="00EB4B88">
        <w:rPr>
          <w:sz w:val="24"/>
          <w:szCs w:val="24"/>
        </w:rPr>
        <w:t xml:space="preserve"> and PM </w:t>
      </w:r>
      <w:r w:rsidR="002E21E3">
        <w:rPr>
          <w:sz w:val="24"/>
          <w:szCs w:val="24"/>
        </w:rPr>
        <w:t>(</w:t>
      </w:r>
      <w:r w:rsidR="00EB4B88" w:rsidRPr="00EB4B88">
        <w:rPr>
          <w:sz w:val="24"/>
          <w:szCs w:val="24"/>
        </w:rPr>
        <w:t>by a factor of 8</w:t>
      </w:r>
      <w:r w:rsidR="002E21E3">
        <w:rPr>
          <w:sz w:val="24"/>
          <w:szCs w:val="24"/>
        </w:rPr>
        <w:t>)</w:t>
      </w:r>
      <w:proofErr w:type="gramStart"/>
      <w:r w:rsidR="00EB4B88" w:rsidRPr="00EB4B88">
        <w:rPr>
          <w:sz w:val="24"/>
          <w:szCs w:val="24"/>
        </w:rPr>
        <w:t>,</w:t>
      </w:r>
      <w:proofErr w:type="gramEnd"/>
      <w:r w:rsidR="00EB4B88" w:rsidRPr="00EB4B88">
        <w:rPr>
          <w:sz w:val="24"/>
          <w:szCs w:val="24"/>
        </w:rPr>
        <w:t xml:space="preserve"> however the HC and CO concentrations are much higher, by factors of 20 and 7 respectively.  Also the exhaust temperatures are 40-70°C lower.  </w:t>
      </w:r>
      <w:r w:rsidR="002E21E3">
        <w:rPr>
          <w:sz w:val="24"/>
          <w:szCs w:val="24"/>
        </w:rPr>
        <w:t>With these changes, s</w:t>
      </w:r>
      <w:r w:rsidR="00EB4B88" w:rsidRPr="00EB4B88">
        <w:rPr>
          <w:sz w:val="24"/>
          <w:szCs w:val="24"/>
        </w:rPr>
        <w:t>ignificantly more emphasis needs to be put on the activity of the oxidation catalyst function and low temperature NO</w:t>
      </w:r>
      <w:r w:rsidR="00EB4B88" w:rsidRPr="00EB4B88">
        <w:rPr>
          <w:sz w:val="24"/>
          <w:szCs w:val="24"/>
          <w:vertAlign w:val="subscript"/>
        </w:rPr>
        <w:t>X</w:t>
      </w:r>
      <w:r w:rsidR="00EB4B88" w:rsidRPr="00EB4B88">
        <w:rPr>
          <w:sz w:val="24"/>
          <w:szCs w:val="24"/>
        </w:rPr>
        <w:t xml:space="preserve"> reduction performance.</w:t>
      </w:r>
    </w:p>
    <w:p w:rsidR="00EB4B88" w:rsidRPr="00EB4B88" w:rsidRDefault="00EB4B88" w:rsidP="00EB4B88">
      <w:pPr>
        <w:pStyle w:val="BodyTextNACS"/>
        <w:rPr>
          <w:sz w:val="24"/>
          <w:szCs w:val="24"/>
        </w:rPr>
      </w:pPr>
    </w:p>
    <w:p w:rsidR="004D3D0B" w:rsidRPr="00EB4B88" w:rsidRDefault="00EB4B88" w:rsidP="00EB4B88">
      <w:pPr>
        <w:rPr>
          <w:sz w:val="24"/>
          <w:szCs w:val="24"/>
        </w:rPr>
      </w:pPr>
      <w:r w:rsidRPr="00EB4B88">
        <w:rPr>
          <w:sz w:val="24"/>
          <w:szCs w:val="24"/>
        </w:rPr>
        <w:t xml:space="preserve">Diesel oxidation catalysts (DOCs) </w:t>
      </w:r>
      <w:r w:rsidR="002E21E3">
        <w:rPr>
          <w:sz w:val="24"/>
          <w:szCs w:val="24"/>
        </w:rPr>
        <w:t xml:space="preserve">are designed to </w:t>
      </w:r>
      <w:r w:rsidRPr="00EB4B88">
        <w:rPr>
          <w:sz w:val="24"/>
          <w:szCs w:val="24"/>
        </w:rPr>
        <w:t xml:space="preserve">oxidize CO, NO, and HCs, and typically contain Pt and Pd.  It has been shown that adding Pd to Pt based DOCs leads to less Pt sintering relative to monometallic Pt catalysts </w:t>
      </w:r>
      <w:r>
        <w:rPr>
          <w:sz w:val="24"/>
          <w:szCs w:val="24"/>
        </w:rPr>
        <w:t>[1</w:t>
      </w:r>
      <w:r w:rsidRPr="00EB4B88">
        <w:rPr>
          <w:sz w:val="24"/>
          <w:szCs w:val="24"/>
        </w:rPr>
        <w:t>].  Pt is a much better NO oxidation catalyst than Pd, and Pd is less sensitive to CO poisoning than Pt [</w:t>
      </w:r>
      <w:r>
        <w:rPr>
          <w:sz w:val="24"/>
          <w:szCs w:val="24"/>
        </w:rPr>
        <w:t>2</w:t>
      </w:r>
      <w:r w:rsidRPr="00EB4B88">
        <w:rPr>
          <w:sz w:val="24"/>
          <w:szCs w:val="24"/>
        </w:rPr>
        <w:t>].  Non-uniformly distributed oxidation catalysts have been studied [</w:t>
      </w:r>
      <w:r>
        <w:rPr>
          <w:sz w:val="24"/>
          <w:szCs w:val="24"/>
        </w:rPr>
        <w:t>3</w:t>
      </w:r>
      <w:r w:rsidRPr="00EB4B88">
        <w:rPr>
          <w:sz w:val="24"/>
          <w:szCs w:val="24"/>
        </w:rPr>
        <w:t xml:space="preserve">], where the premise for DOCs is axially distributing active sites will minimize the amount of metal used to meet conversion targets.  A non-linear relationship between oxidation performance and Pt or Pd content has been observed, with different minimum </w:t>
      </w:r>
      <w:proofErr w:type="spellStart"/>
      <w:r w:rsidRPr="00EB4B88">
        <w:rPr>
          <w:sz w:val="24"/>
          <w:szCs w:val="24"/>
        </w:rPr>
        <w:t>Pt</w:t>
      </w:r>
      <w:proofErr w:type="gramStart"/>
      <w:r w:rsidRPr="00EB4B88">
        <w:rPr>
          <w:sz w:val="24"/>
          <w:szCs w:val="24"/>
        </w:rPr>
        <w:t>:Pd</w:t>
      </w:r>
      <w:proofErr w:type="spellEnd"/>
      <w:proofErr w:type="gramEnd"/>
      <w:r w:rsidRPr="00EB4B88">
        <w:rPr>
          <w:sz w:val="24"/>
          <w:szCs w:val="24"/>
        </w:rPr>
        <w:t xml:space="preserve"> ratios achieving low light-off temperatures for different compounds</w:t>
      </w:r>
      <w:r>
        <w:rPr>
          <w:sz w:val="24"/>
          <w:szCs w:val="24"/>
        </w:rPr>
        <w:t xml:space="preserve"> [4]</w:t>
      </w:r>
      <w:r w:rsidRPr="00EB4B88">
        <w:rPr>
          <w:sz w:val="24"/>
          <w:szCs w:val="24"/>
        </w:rPr>
        <w:t>.</w:t>
      </w:r>
      <w:r w:rsidR="002E21E3">
        <w:rPr>
          <w:sz w:val="24"/>
          <w:szCs w:val="24"/>
        </w:rPr>
        <w:t xml:space="preserve"> With these features, there is a unique possibility that DOCs can be designed with gradients in Pt and Pd amounts, as well as </w:t>
      </w:r>
      <w:proofErr w:type="gramStart"/>
      <w:r w:rsidR="002E21E3">
        <w:rPr>
          <w:sz w:val="24"/>
          <w:szCs w:val="24"/>
        </w:rPr>
        <w:t>ratios, that</w:t>
      </w:r>
      <w:proofErr w:type="gramEnd"/>
      <w:r w:rsidR="002E21E3">
        <w:rPr>
          <w:sz w:val="24"/>
          <w:szCs w:val="24"/>
        </w:rPr>
        <w:t xml:space="preserve"> could lead to improved low temperature performance.</w:t>
      </w:r>
    </w:p>
    <w:p w:rsidR="00EB4B88" w:rsidRDefault="00EB4B88" w:rsidP="00EB4B88">
      <w:pPr>
        <w:pStyle w:val="SectionHeadingNACS"/>
        <w:rPr>
          <w:sz w:val="24"/>
          <w:szCs w:val="24"/>
        </w:rPr>
      </w:pPr>
    </w:p>
    <w:p w:rsidR="00EB4B88" w:rsidRPr="00EB4B88" w:rsidRDefault="00EB4B88" w:rsidP="00EB4B88">
      <w:pPr>
        <w:pStyle w:val="SectionHeadingNACS"/>
        <w:rPr>
          <w:sz w:val="24"/>
          <w:szCs w:val="24"/>
        </w:rPr>
      </w:pPr>
      <w:r>
        <w:rPr>
          <w:sz w:val="24"/>
          <w:szCs w:val="24"/>
        </w:rPr>
        <w:t>Methodology</w:t>
      </w:r>
    </w:p>
    <w:p w:rsidR="00EB4B88" w:rsidRPr="00EB4B88" w:rsidRDefault="00EB4B88" w:rsidP="00EB4B88">
      <w:pPr>
        <w:pStyle w:val="BodyTextNACS"/>
        <w:ind w:firstLine="720"/>
        <w:rPr>
          <w:sz w:val="24"/>
          <w:szCs w:val="24"/>
        </w:rPr>
      </w:pPr>
      <w:r w:rsidRPr="00EB4B88">
        <w:rPr>
          <w:sz w:val="24"/>
          <w:szCs w:val="24"/>
        </w:rPr>
        <w:t>Pt, Pd, and different ratios of Pt-Pd bimetallic catalysts, supported on Al</w:t>
      </w:r>
      <w:r w:rsidRPr="00EB4B88">
        <w:rPr>
          <w:sz w:val="24"/>
          <w:szCs w:val="24"/>
          <w:vertAlign w:val="subscript"/>
        </w:rPr>
        <w:t>2</w:t>
      </w:r>
      <w:r w:rsidRPr="00EB4B88">
        <w:rPr>
          <w:sz w:val="24"/>
          <w:szCs w:val="24"/>
        </w:rPr>
        <w:t>O</w:t>
      </w:r>
      <w:r w:rsidRPr="00EB4B88">
        <w:rPr>
          <w:sz w:val="24"/>
          <w:szCs w:val="24"/>
          <w:vertAlign w:val="subscript"/>
        </w:rPr>
        <w:t>3</w:t>
      </w:r>
      <w:r w:rsidRPr="00EB4B88">
        <w:rPr>
          <w:sz w:val="24"/>
          <w:szCs w:val="24"/>
        </w:rPr>
        <w:t xml:space="preserve">, were prepared via incipient wetness impregnation.  </w:t>
      </w:r>
      <w:r w:rsidR="002E21E3">
        <w:rPr>
          <w:sz w:val="24"/>
          <w:szCs w:val="24"/>
        </w:rPr>
        <w:t>For the data to be described, a</w:t>
      </w:r>
      <w:r w:rsidRPr="00EB4B88">
        <w:rPr>
          <w:sz w:val="24"/>
          <w:szCs w:val="24"/>
        </w:rPr>
        <w:t xml:space="preserve">ll catalysts are based on 1 wt% Pt catalyst loading, with a molar equivalent of Pd considered (0.55 </w:t>
      </w:r>
      <w:proofErr w:type="gramStart"/>
      <w:r w:rsidRPr="00EB4B88">
        <w:rPr>
          <w:sz w:val="24"/>
          <w:szCs w:val="24"/>
        </w:rPr>
        <w:t>wt%</w:t>
      </w:r>
      <w:proofErr w:type="gramEnd"/>
      <w:r w:rsidRPr="00EB4B88">
        <w:rPr>
          <w:sz w:val="24"/>
          <w:szCs w:val="24"/>
        </w:rPr>
        <w:t xml:space="preserve">).  Catalysts were dried overnight and </w:t>
      </w:r>
      <w:proofErr w:type="spellStart"/>
      <w:r w:rsidRPr="00EB4B88">
        <w:rPr>
          <w:sz w:val="24"/>
          <w:szCs w:val="24"/>
        </w:rPr>
        <w:t>calcined</w:t>
      </w:r>
      <w:proofErr w:type="spellEnd"/>
      <w:r w:rsidRPr="00EB4B88">
        <w:rPr>
          <w:sz w:val="24"/>
          <w:szCs w:val="24"/>
        </w:rPr>
        <w:t xml:space="preserve"> for 4 hours at 550°C.  Catalysts were pressed and sieved to 40-60 mesh, and placed in a quartz tube packed bed reactor with SiO</w:t>
      </w:r>
      <w:r w:rsidRPr="00EB4B88">
        <w:rPr>
          <w:sz w:val="24"/>
          <w:szCs w:val="24"/>
          <w:vertAlign w:val="subscript"/>
        </w:rPr>
        <w:t>2</w:t>
      </w:r>
      <w:r w:rsidRPr="00EB4B88">
        <w:rPr>
          <w:sz w:val="24"/>
          <w:szCs w:val="24"/>
        </w:rPr>
        <w:t xml:space="preserve"> pellets of same size to mini</w:t>
      </w:r>
      <w:r w:rsidR="002E21E3">
        <w:rPr>
          <w:sz w:val="24"/>
          <w:szCs w:val="24"/>
        </w:rPr>
        <w:t>mize temperature gradients.  Temperature programmed oxidation (TPO)</w:t>
      </w:r>
      <w:r w:rsidRPr="00EB4B88">
        <w:rPr>
          <w:sz w:val="24"/>
          <w:szCs w:val="24"/>
        </w:rPr>
        <w:t xml:space="preserve"> experiments </w:t>
      </w:r>
      <w:r w:rsidR="002E21E3">
        <w:rPr>
          <w:sz w:val="24"/>
          <w:szCs w:val="24"/>
        </w:rPr>
        <w:t xml:space="preserve">were </w:t>
      </w:r>
      <w:r w:rsidRPr="00EB4B88">
        <w:rPr>
          <w:sz w:val="24"/>
          <w:szCs w:val="24"/>
        </w:rPr>
        <w:t>conducted with CO (1000-4000ppm), and C</w:t>
      </w:r>
      <w:r w:rsidRPr="00EB4B88">
        <w:rPr>
          <w:sz w:val="24"/>
          <w:szCs w:val="24"/>
          <w:vertAlign w:val="subscript"/>
        </w:rPr>
        <w:t>3</w:t>
      </w:r>
      <w:r w:rsidRPr="00EB4B88">
        <w:rPr>
          <w:sz w:val="24"/>
          <w:szCs w:val="24"/>
        </w:rPr>
        <w:t>H</w:t>
      </w:r>
      <w:r w:rsidRPr="00EB4B88">
        <w:rPr>
          <w:sz w:val="24"/>
          <w:szCs w:val="24"/>
          <w:vertAlign w:val="subscript"/>
        </w:rPr>
        <w:t>6</w:t>
      </w:r>
      <w:r w:rsidRPr="00EB4B88">
        <w:rPr>
          <w:sz w:val="24"/>
          <w:szCs w:val="24"/>
        </w:rPr>
        <w:t xml:space="preserve"> (500-2000 ppm) with excess O</w:t>
      </w:r>
      <w:r w:rsidRPr="00EB4B88">
        <w:rPr>
          <w:sz w:val="24"/>
          <w:szCs w:val="24"/>
          <w:vertAlign w:val="subscript"/>
        </w:rPr>
        <w:t>2</w:t>
      </w:r>
      <w:r w:rsidRPr="00EB4B88">
        <w:rPr>
          <w:sz w:val="24"/>
          <w:szCs w:val="24"/>
        </w:rPr>
        <w:t xml:space="preserve"> (6-10 </w:t>
      </w:r>
      <w:proofErr w:type="spellStart"/>
      <w:proofErr w:type="gramStart"/>
      <w:r w:rsidRPr="00EB4B88">
        <w:rPr>
          <w:sz w:val="24"/>
          <w:szCs w:val="24"/>
        </w:rPr>
        <w:t>vol</w:t>
      </w:r>
      <w:proofErr w:type="spellEnd"/>
      <w:r w:rsidRPr="00EB4B88">
        <w:rPr>
          <w:sz w:val="24"/>
          <w:szCs w:val="24"/>
        </w:rPr>
        <w:t>%</w:t>
      </w:r>
      <w:proofErr w:type="gramEnd"/>
      <w:r w:rsidRPr="00EB4B88">
        <w:rPr>
          <w:sz w:val="24"/>
          <w:szCs w:val="24"/>
        </w:rPr>
        <w:t>) from 100-300°C.  Outlet concentrations</w:t>
      </w:r>
      <w:r w:rsidR="002E21E3">
        <w:rPr>
          <w:sz w:val="24"/>
          <w:szCs w:val="24"/>
        </w:rPr>
        <w:t xml:space="preserve"> were</w:t>
      </w:r>
      <w:r w:rsidRPr="00EB4B88">
        <w:rPr>
          <w:sz w:val="24"/>
          <w:szCs w:val="24"/>
        </w:rPr>
        <w:t xml:space="preserve"> measured with </w:t>
      </w:r>
      <w:r w:rsidR="002E21E3">
        <w:rPr>
          <w:sz w:val="24"/>
          <w:szCs w:val="24"/>
        </w:rPr>
        <w:t xml:space="preserve">a </w:t>
      </w:r>
      <w:r w:rsidRPr="00EB4B88">
        <w:rPr>
          <w:sz w:val="24"/>
          <w:szCs w:val="24"/>
        </w:rPr>
        <w:t>MKS MultiGas2030 FTIR gas analyzer.  Results were modeled as a PFR, with low conversion (1-5%) data used to calculate kinetic parameters (activation energies and frequency factors).</w:t>
      </w:r>
    </w:p>
    <w:p w:rsidR="00EB4B88" w:rsidRPr="00EB4B88" w:rsidRDefault="00EB4B88" w:rsidP="00EB4B88">
      <w:pPr>
        <w:pStyle w:val="BodyTextNACS"/>
        <w:ind w:firstLine="720"/>
        <w:rPr>
          <w:sz w:val="24"/>
          <w:szCs w:val="24"/>
        </w:rPr>
      </w:pPr>
    </w:p>
    <w:p w:rsidR="00EB4B88" w:rsidRPr="00EB4B88" w:rsidRDefault="00EB4B88" w:rsidP="00EB4B88">
      <w:pPr>
        <w:pStyle w:val="SectionHeadingNACS"/>
        <w:rPr>
          <w:sz w:val="24"/>
          <w:szCs w:val="24"/>
        </w:rPr>
      </w:pPr>
      <w:r w:rsidRPr="00EB4B88">
        <w:rPr>
          <w:sz w:val="24"/>
          <w:szCs w:val="24"/>
        </w:rPr>
        <w:t>Results and Discussion</w:t>
      </w:r>
    </w:p>
    <w:p w:rsidR="00EB4B88" w:rsidRDefault="00EB4B88" w:rsidP="00EB4B88">
      <w:pPr>
        <w:pStyle w:val="BodyTextNACS"/>
        <w:ind w:firstLine="720"/>
        <w:rPr>
          <w:sz w:val="24"/>
          <w:szCs w:val="24"/>
        </w:rPr>
      </w:pPr>
      <w:r w:rsidRPr="00EB4B88">
        <w:rPr>
          <w:sz w:val="24"/>
          <w:szCs w:val="24"/>
        </w:rPr>
        <w:t>The CO and C</w:t>
      </w:r>
      <w:r w:rsidRPr="00EB4B88">
        <w:rPr>
          <w:sz w:val="24"/>
          <w:szCs w:val="24"/>
          <w:vertAlign w:val="subscript"/>
        </w:rPr>
        <w:t>3</w:t>
      </w:r>
      <w:r w:rsidRPr="00EB4B88">
        <w:rPr>
          <w:sz w:val="24"/>
          <w:szCs w:val="24"/>
        </w:rPr>
        <w:t>H</w:t>
      </w:r>
      <w:r w:rsidRPr="00EB4B88">
        <w:rPr>
          <w:sz w:val="24"/>
          <w:szCs w:val="24"/>
          <w:vertAlign w:val="subscript"/>
        </w:rPr>
        <w:t>6</w:t>
      </w:r>
      <w:r w:rsidRPr="00EB4B88">
        <w:rPr>
          <w:sz w:val="24"/>
          <w:szCs w:val="24"/>
        </w:rPr>
        <w:t xml:space="preserve"> kinetics for monometallic Pt and Pd have been tested and modeled, and we are currently characterizing the kinetics for various bimetallic Pt-Pd catalysts with varying </w:t>
      </w:r>
      <w:proofErr w:type="spellStart"/>
      <w:r w:rsidRPr="00EB4B88">
        <w:rPr>
          <w:sz w:val="24"/>
          <w:szCs w:val="24"/>
        </w:rPr>
        <w:t>Pt</w:t>
      </w:r>
      <w:proofErr w:type="gramStart"/>
      <w:r w:rsidRPr="00EB4B88">
        <w:rPr>
          <w:sz w:val="24"/>
          <w:szCs w:val="24"/>
        </w:rPr>
        <w:t>:Pd</w:t>
      </w:r>
      <w:proofErr w:type="spellEnd"/>
      <w:proofErr w:type="gramEnd"/>
      <w:r w:rsidRPr="00EB4B88">
        <w:rPr>
          <w:sz w:val="24"/>
          <w:szCs w:val="24"/>
        </w:rPr>
        <w:t xml:space="preserve"> ratios. </w:t>
      </w:r>
      <w:r>
        <w:rPr>
          <w:sz w:val="24"/>
          <w:szCs w:val="24"/>
        </w:rPr>
        <w:t xml:space="preserve">We started with the </w:t>
      </w:r>
      <w:proofErr w:type="spellStart"/>
      <w:r>
        <w:rPr>
          <w:sz w:val="24"/>
          <w:szCs w:val="24"/>
        </w:rPr>
        <w:t>Voltz</w:t>
      </w:r>
      <w:proofErr w:type="spellEnd"/>
      <w:r>
        <w:rPr>
          <w:sz w:val="24"/>
          <w:szCs w:val="24"/>
        </w:rPr>
        <w:t xml:space="preserve"> kinetics [5] as a basis. Using these, </w:t>
      </w:r>
      <w:r w:rsidRPr="00EB4B88">
        <w:rPr>
          <w:sz w:val="24"/>
          <w:szCs w:val="24"/>
        </w:rPr>
        <w:t xml:space="preserve">CO </w:t>
      </w:r>
      <w:r>
        <w:rPr>
          <w:sz w:val="24"/>
          <w:szCs w:val="24"/>
        </w:rPr>
        <w:t xml:space="preserve">oxidation </w:t>
      </w:r>
      <w:r w:rsidRPr="00EB4B88">
        <w:rPr>
          <w:sz w:val="24"/>
          <w:szCs w:val="24"/>
        </w:rPr>
        <w:t xml:space="preserve">kinetics calculated for </w:t>
      </w:r>
      <w:r>
        <w:rPr>
          <w:sz w:val="24"/>
          <w:szCs w:val="24"/>
        </w:rPr>
        <w:t xml:space="preserve">the Pt </w:t>
      </w:r>
      <w:r w:rsidRPr="00EB4B88">
        <w:rPr>
          <w:sz w:val="24"/>
          <w:szCs w:val="24"/>
        </w:rPr>
        <w:t xml:space="preserve">catalyst </w:t>
      </w:r>
      <w:r>
        <w:rPr>
          <w:sz w:val="24"/>
          <w:szCs w:val="24"/>
        </w:rPr>
        <w:t>using</w:t>
      </w:r>
      <w:r w:rsidRPr="00EB4B88">
        <w:rPr>
          <w:sz w:val="24"/>
          <w:szCs w:val="24"/>
        </w:rPr>
        <w:t xml:space="preserve"> LHHW kinetics </w:t>
      </w:r>
      <w:r>
        <w:rPr>
          <w:sz w:val="24"/>
          <w:szCs w:val="24"/>
        </w:rPr>
        <w:t>(r</w:t>
      </w:r>
      <w:r w:rsidRPr="00EB4B88">
        <w:rPr>
          <w:sz w:val="24"/>
          <w:szCs w:val="24"/>
        </w:rPr>
        <w:t xml:space="preserve"> = kC</w:t>
      </w:r>
      <w:r w:rsidRPr="00EB4B88">
        <w:rPr>
          <w:sz w:val="24"/>
          <w:szCs w:val="24"/>
          <w:vertAlign w:val="subscript"/>
        </w:rPr>
        <w:t>CO</w:t>
      </w:r>
      <w:r w:rsidRPr="00EB4B88">
        <w:rPr>
          <w:sz w:val="24"/>
          <w:szCs w:val="24"/>
        </w:rPr>
        <w:t>C</w:t>
      </w:r>
      <w:r>
        <w:rPr>
          <w:sz w:val="24"/>
          <w:szCs w:val="24"/>
          <w:vertAlign w:val="subscript"/>
        </w:rPr>
        <w:t>O2</w:t>
      </w:r>
      <w:r w:rsidRPr="00EB4B88">
        <w:rPr>
          <w:sz w:val="24"/>
          <w:szCs w:val="24"/>
          <w:vertAlign w:val="superscript"/>
        </w:rPr>
        <w:t>1/2</w:t>
      </w:r>
      <w:proofErr w:type="gramStart"/>
      <w:r w:rsidRPr="00EB4B88">
        <w:rPr>
          <w:sz w:val="24"/>
          <w:szCs w:val="24"/>
        </w:rPr>
        <w:t>/(</w:t>
      </w:r>
      <w:proofErr w:type="gramEnd"/>
      <w:r w:rsidRPr="00EB4B88">
        <w:rPr>
          <w:sz w:val="24"/>
          <w:szCs w:val="24"/>
        </w:rPr>
        <w:t>1+KC</w:t>
      </w:r>
      <w:r w:rsidRPr="00EB4B88">
        <w:rPr>
          <w:sz w:val="24"/>
          <w:szCs w:val="24"/>
          <w:vertAlign w:val="subscript"/>
        </w:rPr>
        <w:t>CO</w:t>
      </w:r>
      <w:r w:rsidRPr="00EB4B88">
        <w:rPr>
          <w:sz w:val="24"/>
          <w:szCs w:val="24"/>
        </w:rPr>
        <w:t>)</w:t>
      </w:r>
      <w:r w:rsidRPr="00EB4B88">
        <w:rPr>
          <w:sz w:val="24"/>
          <w:szCs w:val="24"/>
          <w:vertAlign w:val="superscript"/>
        </w:rPr>
        <w:t>2</w:t>
      </w:r>
      <w:r>
        <w:rPr>
          <w:sz w:val="24"/>
          <w:szCs w:val="24"/>
        </w:rPr>
        <w:t>) show</w:t>
      </w:r>
      <w:r w:rsidRPr="00EB4B88">
        <w:rPr>
          <w:sz w:val="24"/>
          <w:szCs w:val="24"/>
        </w:rPr>
        <w:t xml:space="preserve"> good </w:t>
      </w:r>
      <w:r w:rsidRPr="00EB4B88">
        <w:rPr>
          <w:sz w:val="24"/>
          <w:szCs w:val="24"/>
        </w:rPr>
        <w:lastRenderedPageBreak/>
        <w:t xml:space="preserve">agreement </w:t>
      </w:r>
      <w:r>
        <w:rPr>
          <w:sz w:val="24"/>
          <w:szCs w:val="24"/>
        </w:rPr>
        <w:t>with experimental data, although we did modify the mechanism to include dissociative oxygen adsorption instead of molecular adsorption</w:t>
      </w:r>
      <w:r w:rsidRPr="00EB4B88">
        <w:rPr>
          <w:sz w:val="24"/>
          <w:szCs w:val="24"/>
        </w:rPr>
        <w:t xml:space="preserve">. </w:t>
      </w:r>
      <w:r>
        <w:rPr>
          <w:sz w:val="24"/>
          <w:szCs w:val="24"/>
        </w:rPr>
        <w:t xml:space="preserve">Oxidation </w:t>
      </w:r>
      <w:r w:rsidR="000F549A">
        <w:rPr>
          <w:sz w:val="24"/>
          <w:szCs w:val="24"/>
        </w:rPr>
        <w:t xml:space="preserve">kinetics for </w:t>
      </w:r>
      <w:r>
        <w:rPr>
          <w:sz w:val="24"/>
          <w:szCs w:val="24"/>
        </w:rPr>
        <w:t xml:space="preserve">Pd </w:t>
      </w:r>
      <w:proofErr w:type="gramStart"/>
      <w:r>
        <w:rPr>
          <w:sz w:val="24"/>
          <w:szCs w:val="24"/>
        </w:rPr>
        <w:t>we</w:t>
      </w:r>
      <w:r w:rsidR="002E21E3">
        <w:rPr>
          <w:sz w:val="24"/>
          <w:szCs w:val="24"/>
        </w:rPr>
        <w:t>r</w:t>
      </w:r>
      <w:r>
        <w:rPr>
          <w:sz w:val="24"/>
          <w:szCs w:val="24"/>
        </w:rPr>
        <w:t>e</w:t>
      </w:r>
      <w:proofErr w:type="gramEnd"/>
      <w:r>
        <w:rPr>
          <w:sz w:val="24"/>
          <w:szCs w:val="24"/>
        </w:rPr>
        <w:t xml:space="preserve"> also modified, since </w:t>
      </w:r>
      <w:proofErr w:type="spellStart"/>
      <w:r>
        <w:rPr>
          <w:sz w:val="24"/>
          <w:szCs w:val="24"/>
        </w:rPr>
        <w:t>PdO</w:t>
      </w:r>
      <w:proofErr w:type="spellEnd"/>
      <w:r>
        <w:rPr>
          <w:sz w:val="24"/>
          <w:szCs w:val="24"/>
        </w:rPr>
        <w:t xml:space="preserve"> is the assumed active state rather than metallic Pd. This also led to good fits between experimental and modeling results. At this stage we are characterizing k</w:t>
      </w:r>
      <w:r w:rsidRPr="00EB4B88">
        <w:rPr>
          <w:sz w:val="24"/>
          <w:szCs w:val="24"/>
        </w:rPr>
        <w:t>inetic and performance data from the bimetallic catalysts</w:t>
      </w:r>
      <w:r>
        <w:rPr>
          <w:sz w:val="24"/>
          <w:szCs w:val="24"/>
        </w:rPr>
        <w:t>, and these will be included in the presentation</w:t>
      </w:r>
      <w:r w:rsidRPr="00EB4B88">
        <w:rPr>
          <w:sz w:val="24"/>
          <w:szCs w:val="24"/>
        </w:rPr>
        <w:t>, with insight into designs for improved CO and HC oxidation included.</w:t>
      </w:r>
    </w:p>
    <w:p w:rsidR="002E21E3" w:rsidRDefault="002E21E3" w:rsidP="00EB4B88">
      <w:pPr>
        <w:pStyle w:val="BodyTextNACS"/>
        <w:ind w:firstLine="720"/>
        <w:rPr>
          <w:sz w:val="24"/>
          <w:szCs w:val="24"/>
        </w:rPr>
      </w:pPr>
      <w:r>
        <w:rPr>
          <w:sz w:val="24"/>
          <w:szCs w:val="24"/>
        </w:rPr>
        <w:t xml:space="preserve">In terms of performance, a 1:1 ratio of </w:t>
      </w:r>
      <w:proofErr w:type="spellStart"/>
      <w:r>
        <w:rPr>
          <w:sz w:val="24"/>
          <w:szCs w:val="24"/>
        </w:rPr>
        <w:t>Pt</w:t>
      </w:r>
      <w:proofErr w:type="gramStart"/>
      <w:r>
        <w:rPr>
          <w:sz w:val="24"/>
          <w:szCs w:val="24"/>
        </w:rPr>
        <w:t>:Pd</w:t>
      </w:r>
      <w:proofErr w:type="spellEnd"/>
      <w:proofErr w:type="gramEnd"/>
      <w:r>
        <w:rPr>
          <w:sz w:val="24"/>
          <w:szCs w:val="24"/>
        </w:rPr>
        <w:t xml:space="preserve"> typically proved to have the best T</w:t>
      </w:r>
      <w:r w:rsidRPr="002E21E3">
        <w:rPr>
          <w:sz w:val="24"/>
          <w:szCs w:val="24"/>
          <w:vertAlign w:val="subscript"/>
        </w:rPr>
        <w:t>50</w:t>
      </w:r>
      <w:r>
        <w:rPr>
          <w:sz w:val="24"/>
          <w:szCs w:val="24"/>
        </w:rPr>
        <w:t xml:space="preserve"> value (temperature whe</w:t>
      </w:r>
      <w:r w:rsidR="0003036E">
        <w:rPr>
          <w:sz w:val="24"/>
          <w:szCs w:val="24"/>
        </w:rPr>
        <w:t>re 50% conversion was achieved). This was true for CO oxidation, C</w:t>
      </w:r>
      <w:r w:rsidR="0003036E" w:rsidRPr="0003036E">
        <w:rPr>
          <w:sz w:val="24"/>
          <w:szCs w:val="24"/>
          <w:vertAlign w:val="subscript"/>
        </w:rPr>
        <w:t>3</w:t>
      </w:r>
      <w:r w:rsidR="0003036E">
        <w:rPr>
          <w:sz w:val="24"/>
          <w:szCs w:val="24"/>
        </w:rPr>
        <w:t>H</w:t>
      </w:r>
      <w:r w:rsidR="0003036E" w:rsidRPr="0003036E">
        <w:rPr>
          <w:sz w:val="24"/>
          <w:szCs w:val="24"/>
          <w:vertAlign w:val="subscript"/>
        </w:rPr>
        <w:t>6</w:t>
      </w:r>
      <w:r w:rsidR="0003036E">
        <w:rPr>
          <w:sz w:val="24"/>
          <w:szCs w:val="24"/>
        </w:rPr>
        <w:t xml:space="preserve"> oxidation and the oxidation of both when added together</w:t>
      </w:r>
      <w:r w:rsidR="002F32EE">
        <w:rPr>
          <w:sz w:val="24"/>
          <w:szCs w:val="24"/>
        </w:rPr>
        <w:t>.</w:t>
      </w:r>
      <w:r w:rsidR="0003036E">
        <w:rPr>
          <w:sz w:val="24"/>
          <w:szCs w:val="24"/>
        </w:rPr>
        <w:t xml:space="preserve"> However,</w:t>
      </w:r>
      <w:r>
        <w:rPr>
          <w:sz w:val="24"/>
          <w:szCs w:val="24"/>
        </w:rPr>
        <w:t xml:space="preserve"> different ratios led to </w:t>
      </w:r>
      <w:r w:rsidR="0003036E">
        <w:rPr>
          <w:sz w:val="24"/>
          <w:szCs w:val="24"/>
        </w:rPr>
        <w:t xml:space="preserve">the best </w:t>
      </w:r>
      <w:r>
        <w:rPr>
          <w:sz w:val="24"/>
          <w:szCs w:val="24"/>
        </w:rPr>
        <w:t>T</w:t>
      </w:r>
      <w:r w:rsidRPr="002E21E3">
        <w:rPr>
          <w:sz w:val="24"/>
          <w:szCs w:val="24"/>
          <w:vertAlign w:val="subscript"/>
        </w:rPr>
        <w:t>90</w:t>
      </w:r>
      <w:r>
        <w:rPr>
          <w:sz w:val="24"/>
          <w:szCs w:val="24"/>
        </w:rPr>
        <w:t xml:space="preserve"> values. Again, this suggests a possible optimized design to attain the best performance with minimum precious metal content.</w:t>
      </w:r>
    </w:p>
    <w:p w:rsidR="00EB4B88" w:rsidRPr="00EB4B88" w:rsidRDefault="00EB4B88" w:rsidP="00EB4B88">
      <w:pPr>
        <w:pStyle w:val="BodyTextNACS"/>
        <w:ind w:firstLine="720"/>
        <w:rPr>
          <w:noProof/>
          <w:sz w:val="24"/>
          <w:szCs w:val="24"/>
          <w:lang w:val="en-CA" w:eastAsia="en-CA"/>
        </w:rPr>
      </w:pPr>
    </w:p>
    <w:p w:rsidR="00EB4B88" w:rsidRPr="00EB4B88" w:rsidRDefault="00EB4B88" w:rsidP="00EB4B88">
      <w:pPr>
        <w:pStyle w:val="BodyTextNACS"/>
        <w:ind w:firstLine="720"/>
        <w:rPr>
          <w:sz w:val="24"/>
          <w:szCs w:val="24"/>
        </w:rPr>
      </w:pPr>
      <w:r>
        <w:rPr>
          <w:sz w:val="24"/>
          <w:szCs w:val="24"/>
        </w:rPr>
        <w:t>Overall, t</w:t>
      </w:r>
      <w:r w:rsidRPr="00EB4B88">
        <w:rPr>
          <w:sz w:val="24"/>
          <w:szCs w:val="24"/>
        </w:rPr>
        <w:t>he goal of this research is designing a better DOC (reduction in precious metal content or improved performance), by taking advantage of the effects of different Pt-Pd ratios.  Kinetic parameters calculated can be used in a monolith reactor model to determine optimal axial distribution of</w:t>
      </w:r>
      <w:bookmarkStart w:id="0" w:name="_GoBack"/>
      <w:bookmarkEnd w:id="0"/>
      <w:r w:rsidRPr="00EB4B88">
        <w:rPr>
          <w:sz w:val="24"/>
          <w:szCs w:val="24"/>
        </w:rPr>
        <w:t xml:space="preserve"> PGM.</w:t>
      </w:r>
    </w:p>
    <w:p w:rsidR="00EB4B88" w:rsidRPr="00EB4B88" w:rsidRDefault="00EB4B88" w:rsidP="00EB4B88">
      <w:pPr>
        <w:rPr>
          <w:sz w:val="24"/>
          <w:szCs w:val="24"/>
        </w:rPr>
      </w:pPr>
    </w:p>
    <w:p w:rsidR="00EB4B88" w:rsidRPr="00EB4B88" w:rsidRDefault="003D370C" w:rsidP="00EB4B88">
      <w:pPr>
        <w:pStyle w:val="SectionHeadingNACS"/>
        <w:rPr>
          <w:sz w:val="24"/>
          <w:szCs w:val="24"/>
        </w:rPr>
      </w:pPr>
      <w:r w:rsidRPr="00EB4B88">
        <w:rPr>
          <w:sz w:val="24"/>
          <w:szCs w:val="24"/>
        </w:rPr>
        <w:t>REFERENCES</w:t>
      </w:r>
    </w:p>
    <w:p w:rsidR="00EB4B88" w:rsidRPr="00EB4B88" w:rsidRDefault="00152B39" w:rsidP="00EB4B88">
      <w:pPr>
        <w:pStyle w:val="ListParagraph"/>
        <w:numPr>
          <w:ilvl w:val="0"/>
          <w:numId w:val="1"/>
        </w:numPr>
        <w:spacing w:after="0" w:line="240" w:lineRule="auto"/>
        <w:rPr>
          <w:rFonts w:ascii="Times New Roman" w:hAnsi="Times New Roman" w:cs="Times New Roman"/>
          <w:sz w:val="24"/>
          <w:szCs w:val="24"/>
          <w:lang w:val="en-CA"/>
        </w:rPr>
      </w:pPr>
      <w:r>
        <w:rPr>
          <w:rFonts w:ascii="Times New Roman" w:hAnsi="Times New Roman" w:cs="Times New Roman"/>
          <w:noProof/>
          <w:sz w:val="24"/>
          <w:szCs w:val="24"/>
        </w:rPr>
        <w:t xml:space="preserve">J.C. </w:t>
      </w:r>
      <w:r w:rsidR="00EB4B88" w:rsidRPr="00EB4B88">
        <w:rPr>
          <w:rFonts w:ascii="Times New Roman" w:hAnsi="Times New Roman" w:cs="Times New Roman"/>
          <w:noProof/>
          <w:sz w:val="24"/>
          <w:szCs w:val="24"/>
        </w:rPr>
        <w:t xml:space="preserve">Summers, </w:t>
      </w:r>
      <w:r>
        <w:rPr>
          <w:rFonts w:ascii="Times New Roman" w:hAnsi="Times New Roman" w:cs="Times New Roman"/>
          <w:noProof/>
          <w:sz w:val="24"/>
          <w:szCs w:val="24"/>
        </w:rPr>
        <w:t>and L.L.</w:t>
      </w:r>
      <w:r w:rsidR="00EB4B88" w:rsidRPr="00EB4B88">
        <w:rPr>
          <w:rFonts w:ascii="Times New Roman" w:hAnsi="Times New Roman" w:cs="Times New Roman"/>
          <w:noProof/>
          <w:sz w:val="24"/>
          <w:szCs w:val="24"/>
        </w:rPr>
        <w:t xml:space="preserve"> Hegedus,  </w:t>
      </w:r>
      <w:r w:rsidR="00EB4B88" w:rsidRPr="00EB4B88">
        <w:rPr>
          <w:rFonts w:ascii="Times New Roman" w:hAnsi="Times New Roman" w:cs="Times New Roman"/>
          <w:i/>
          <w:noProof/>
          <w:sz w:val="24"/>
          <w:szCs w:val="24"/>
        </w:rPr>
        <w:t>Journal of Catalysis</w:t>
      </w:r>
      <w:r w:rsidR="007971A6">
        <w:rPr>
          <w:rFonts w:ascii="Times New Roman" w:hAnsi="Times New Roman" w:cs="Times New Roman"/>
          <w:noProof/>
          <w:sz w:val="24"/>
          <w:szCs w:val="24"/>
        </w:rPr>
        <w:t xml:space="preserve"> 51</w:t>
      </w:r>
      <w:r w:rsidR="00EB4B88" w:rsidRPr="00EB4B88">
        <w:rPr>
          <w:rFonts w:ascii="Times New Roman" w:hAnsi="Times New Roman" w:cs="Times New Roman"/>
          <w:noProof/>
          <w:sz w:val="24"/>
          <w:szCs w:val="24"/>
        </w:rPr>
        <w:t>(1978)</w:t>
      </w:r>
      <w:r w:rsidR="007971A6">
        <w:rPr>
          <w:rFonts w:ascii="Times New Roman" w:hAnsi="Times New Roman" w:cs="Times New Roman"/>
          <w:noProof/>
          <w:sz w:val="24"/>
          <w:szCs w:val="24"/>
        </w:rPr>
        <w:t>185</w:t>
      </w:r>
      <w:r w:rsidR="00EB4B88" w:rsidRPr="00EB4B88">
        <w:rPr>
          <w:rFonts w:ascii="Times New Roman" w:hAnsi="Times New Roman" w:cs="Times New Roman"/>
          <w:noProof/>
          <w:sz w:val="24"/>
          <w:szCs w:val="24"/>
        </w:rPr>
        <w:t>.</w:t>
      </w:r>
    </w:p>
    <w:p w:rsidR="00EB4B88" w:rsidRPr="00EB4B88" w:rsidRDefault="00152B39" w:rsidP="00EB4B88">
      <w:pPr>
        <w:pStyle w:val="ListParagraph"/>
        <w:numPr>
          <w:ilvl w:val="0"/>
          <w:numId w:val="1"/>
        </w:numPr>
        <w:spacing w:after="0" w:line="240" w:lineRule="auto"/>
        <w:rPr>
          <w:rFonts w:ascii="Times New Roman" w:hAnsi="Times New Roman" w:cs="Times New Roman"/>
          <w:sz w:val="24"/>
          <w:szCs w:val="24"/>
          <w:lang w:val="en-CA"/>
        </w:rPr>
      </w:pPr>
      <w:r>
        <w:rPr>
          <w:rFonts w:ascii="Times New Roman" w:eastAsia="AdvGulliv-R" w:hAnsi="Times New Roman" w:cs="Times New Roman"/>
          <w:color w:val="000000"/>
          <w:sz w:val="24"/>
          <w:szCs w:val="24"/>
        </w:rPr>
        <w:t xml:space="preserve">R. </w:t>
      </w:r>
      <w:r w:rsidR="00EB4B88" w:rsidRPr="00EB4B88">
        <w:rPr>
          <w:rFonts w:ascii="Times New Roman" w:eastAsia="AdvGulliv-R" w:hAnsi="Times New Roman" w:cs="Times New Roman"/>
          <w:color w:val="000000"/>
          <w:sz w:val="24"/>
          <w:szCs w:val="24"/>
        </w:rPr>
        <w:t xml:space="preserve">Chen, </w:t>
      </w:r>
      <w:r>
        <w:rPr>
          <w:rFonts w:ascii="Times New Roman" w:eastAsia="AdvGulliv-R" w:hAnsi="Times New Roman" w:cs="Times New Roman"/>
          <w:color w:val="000000"/>
          <w:sz w:val="24"/>
          <w:szCs w:val="24"/>
        </w:rPr>
        <w:t xml:space="preserve">Z. </w:t>
      </w:r>
      <w:r w:rsidR="00EB4B88" w:rsidRPr="00EB4B88">
        <w:rPr>
          <w:rFonts w:ascii="Times New Roman" w:eastAsia="AdvGulliv-R" w:hAnsi="Times New Roman" w:cs="Times New Roman"/>
          <w:color w:val="000000"/>
          <w:sz w:val="24"/>
          <w:szCs w:val="24"/>
        </w:rPr>
        <w:t xml:space="preserve">Chen, </w:t>
      </w:r>
      <w:r>
        <w:rPr>
          <w:rFonts w:ascii="Times New Roman" w:eastAsia="AdvGulliv-R" w:hAnsi="Times New Roman" w:cs="Times New Roman"/>
          <w:color w:val="000000"/>
          <w:sz w:val="24"/>
          <w:szCs w:val="24"/>
        </w:rPr>
        <w:t>B.</w:t>
      </w:r>
      <w:r w:rsidR="00EB4B88" w:rsidRPr="00EB4B88">
        <w:rPr>
          <w:rFonts w:ascii="Times New Roman" w:eastAsia="AdvGulliv-R" w:hAnsi="Times New Roman" w:cs="Times New Roman"/>
          <w:color w:val="000000"/>
          <w:sz w:val="24"/>
          <w:szCs w:val="24"/>
        </w:rPr>
        <w:t xml:space="preserve"> Ma, </w:t>
      </w:r>
      <w:r w:rsidR="007971A6" w:rsidRPr="007971A6">
        <w:rPr>
          <w:rFonts w:ascii="Times New Roman" w:eastAsia="AdvGulliv-R" w:hAnsi="Times New Roman" w:cs="Times New Roman"/>
          <w:color w:val="000000"/>
          <w:sz w:val="24"/>
          <w:szCs w:val="24"/>
        </w:rPr>
        <w:t xml:space="preserve">X. </w:t>
      </w:r>
      <w:proofErr w:type="spellStart"/>
      <w:r w:rsidR="007971A6" w:rsidRPr="007971A6">
        <w:rPr>
          <w:rFonts w:ascii="Times New Roman" w:eastAsia="AdvGulliv-R" w:hAnsi="Times New Roman" w:cs="Times New Roman"/>
          <w:color w:val="000000"/>
          <w:sz w:val="24"/>
          <w:szCs w:val="24"/>
        </w:rPr>
        <w:t>Hao</w:t>
      </w:r>
      <w:proofErr w:type="spellEnd"/>
      <w:r w:rsidR="007971A6" w:rsidRPr="007971A6">
        <w:rPr>
          <w:rFonts w:ascii="Times New Roman" w:eastAsia="AdvGulliv-R" w:hAnsi="Times New Roman" w:cs="Times New Roman"/>
          <w:color w:val="000000"/>
          <w:sz w:val="24"/>
          <w:szCs w:val="24"/>
        </w:rPr>
        <w:t xml:space="preserve">, N. </w:t>
      </w:r>
      <w:proofErr w:type="spellStart"/>
      <w:r w:rsidR="007971A6" w:rsidRPr="007971A6">
        <w:rPr>
          <w:rFonts w:ascii="Times New Roman" w:eastAsia="AdvGulliv-R" w:hAnsi="Times New Roman" w:cs="Times New Roman"/>
          <w:color w:val="000000"/>
          <w:sz w:val="24"/>
          <w:szCs w:val="24"/>
        </w:rPr>
        <w:t>Kapur</w:t>
      </w:r>
      <w:proofErr w:type="spellEnd"/>
      <w:r w:rsidR="007971A6" w:rsidRPr="007971A6">
        <w:rPr>
          <w:rFonts w:ascii="Times New Roman" w:eastAsia="AdvGulliv-R" w:hAnsi="Times New Roman" w:cs="Times New Roman"/>
          <w:color w:val="000000"/>
          <w:sz w:val="24"/>
          <w:szCs w:val="24"/>
        </w:rPr>
        <w:t>, J. Hyun, K. Cho</w:t>
      </w:r>
      <w:r w:rsidR="007971A6" w:rsidRPr="007971A6">
        <w:rPr>
          <w:rFonts w:ascii="Times New Roman" w:eastAsia="AdvGulliv-R" w:hAnsi="Times New Roman" w:cs="Times New Roman"/>
          <w:color w:val="000066"/>
          <w:sz w:val="24"/>
          <w:szCs w:val="24"/>
        </w:rPr>
        <w:t xml:space="preserve">, </w:t>
      </w:r>
      <w:r w:rsidR="007971A6">
        <w:rPr>
          <w:rFonts w:ascii="Times New Roman" w:eastAsia="AdvGulliv-R" w:hAnsi="Times New Roman" w:cs="Times New Roman"/>
          <w:color w:val="000066"/>
          <w:sz w:val="24"/>
          <w:szCs w:val="24"/>
        </w:rPr>
        <w:t xml:space="preserve">and </w:t>
      </w:r>
      <w:r w:rsidR="007971A6" w:rsidRPr="007971A6">
        <w:rPr>
          <w:rFonts w:ascii="Times New Roman" w:eastAsia="AdvGulliv-R" w:hAnsi="Times New Roman" w:cs="Times New Roman"/>
          <w:color w:val="000000"/>
          <w:sz w:val="24"/>
          <w:szCs w:val="24"/>
        </w:rPr>
        <w:t>B. Shan</w:t>
      </w:r>
      <w:r w:rsidR="007971A6">
        <w:rPr>
          <w:rFonts w:ascii="Times New Roman" w:eastAsia="AdvGulliv-R" w:hAnsi="Times New Roman" w:cs="Times New Roman"/>
          <w:color w:val="000000"/>
          <w:sz w:val="24"/>
          <w:szCs w:val="24"/>
        </w:rPr>
        <w:t>,</w:t>
      </w:r>
      <w:r w:rsidR="007971A6" w:rsidRPr="007971A6">
        <w:rPr>
          <w:rFonts w:ascii="Times New Roman" w:eastAsia="AdvGulliv-R" w:hAnsi="Times New Roman" w:cs="Times New Roman"/>
          <w:i/>
          <w:sz w:val="24"/>
          <w:szCs w:val="24"/>
        </w:rPr>
        <w:t xml:space="preserve"> </w:t>
      </w:r>
      <w:r w:rsidR="00EB4B88" w:rsidRPr="007971A6">
        <w:rPr>
          <w:rFonts w:ascii="Times New Roman" w:eastAsia="AdvGulliv-R" w:hAnsi="Times New Roman" w:cs="Times New Roman"/>
          <w:i/>
          <w:sz w:val="24"/>
          <w:szCs w:val="24"/>
        </w:rPr>
        <w:t>Computational and Theoretical Chemistry</w:t>
      </w:r>
      <w:r w:rsidR="007971A6">
        <w:rPr>
          <w:rFonts w:ascii="Times New Roman" w:eastAsia="AdvGulliv-R" w:hAnsi="Times New Roman" w:cs="Times New Roman"/>
          <w:sz w:val="24"/>
          <w:szCs w:val="24"/>
        </w:rPr>
        <w:t xml:space="preserve"> 987</w:t>
      </w:r>
      <w:r w:rsidR="00EB4B88" w:rsidRPr="007971A6">
        <w:rPr>
          <w:rFonts w:ascii="Times New Roman" w:eastAsia="AdvGulliv-R" w:hAnsi="Times New Roman" w:cs="Times New Roman"/>
          <w:sz w:val="24"/>
          <w:szCs w:val="24"/>
        </w:rPr>
        <w:t>(2012</w:t>
      </w:r>
      <w:r w:rsidR="00EB4B88" w:rsidRPr="00EB4B88">
        <w:rPr>
          <w:rFonts w:ascii="Times New Roman" w:eastAsia="AdvGulliv-R" w:hAnsi="Times New Roman" w:cs="Times New Roman"/>
          <w:sz w:val="24"/>
          <w:szCs w:val="24"/>
        </w:rPr>
        <w:t>)</w:t>
      </w:r>
      <w:r w:rsidR="007971A6">
        <w:rPr>
          <w:rFonts w:ascii="Times New Roman" w:eastAsia="AdvGulliv-R" w:hAnsi="Times New Roman" w:cs="Times New Roman"/>
          <w:sz w:val="24"/>
          <w:szCs w:val="24"/>
        </w:rPr>
        <w:t>77</w:t>
      </w:r>
      <w:r w:rsidR="00EB4B88" w:rsidRPr="00EB4B88">
        <w:rPr>
          <w:rFonts w:ascii="Times New Roman" w:eastAsia="AdvGulliv-R" w:hAnsi="Times New Roman" w:cs="Times New Roman"/>
          <w:sz w:val="24"/>
          <w:szCs w:val="24"/>
        </w:rPr>
        <w:t>.</w:t>
      </w:r>
    </w:p>
    <w:p w:rsidR="00EB4B88" w:rsidRPr="00EB4B88" w:rsidRDefault="00152B39" w:rsidP="00EB4B88">
      <w:pPr>
        <w:pStyle w:val="ListParagraph"/>
        <w:numPr>
          <w:ilvl w:val="0"/>
          <w:numId w:val="1"/>
        </w:numPr>
        <w:spacing w:after="0" w:line="240" w:lineRule="auto"/>
        <w:rPr>
          <w:rFonts w:ascii="Times New Roman" w:hAnsi="Times New Roman" w:cs="Times New Roman"/>
          <w:sz w:val="24"/>
          <w:szCs w:val="24"/>
          <w:lang w:val="en-CA"/>
        </w:rPr>
      </w:pPr>
      <w:r>
        <w:rPr>
          <w:rFonts w:ascii="Times New Roman" w:hAnsi="Times New Roman" w:cs="Times New Roman"/>
          <w:noProof/>
          <w:sz w:val="24"/>
          <w:szCs w:val="24"/>
        </w:rPr>
        <w:t xml:space="preserve">Y.D. </w:t>
      </w:r>
      <w:r w:rsidR="00EB4B88" w:rsidRPr="00EB4B88">
        <w:rPr>
          <w:rFonts w:ascii="Times New Roman" w:hAnsi="Times New Roman" w:cs="Times New Roman"/>
          <w:noProof/>
          <w:sz w:val="24"/>
          <w:szCs w:val="24"/>
        </w:rPr>
        <w:t xml:space="preserve">Kim, </w:t>
      </w:r>
      <w:r>
        <w:rPr>
          <w:rFonts w:ascii="Times New Roman" w:hAnsi="Times New Roman" w:cs="Times New Roman"/>
          <w:noProof/>
          <w:sz w:val="24"/>
          <w:szCs w:val="24"/>
        </w:rPr>
        <w:t>S.J.</w:t>
      </w:r>
      <w:r w:rsidR="00EB4B88" w:rsidRPr="00EB4B88">
        <w:rPr>
          <w:rFonts w:ascii="Times New Roman" w:hAnsi="Times New Roman" w:cs="Times New Roman"/>
          <w:noProof/>
          <w:sz w:val="24"/>
          <w:szCs w:val="24"/>
        </w:rPr>
        <w:t xml:space="preserve"> Jeong, </w:t>
      </w:r>
      <w:r>
        <w:rPr>
          <w:rFonts w:ascii="Times New Roman" w:hAnsi="Times New Roman" w:cs="Times New Roman"/>
          <w:noProof/>
          <w:sz w:val="24"/>
          <w:szCs w:val="24"/>
        </w:rPr>
        <w:t>and W.S.</w:t>
      </w:r>
      <w:r w:rsidR="00EB4B88" w:rsidRPr="00EB4B88">
        <w:rPr>
          <w:rFonts w:ascii="Times New Roman" w:hAnsi="Times New Roman" w:cs="Times New Roman"/>
          <w:noProof/>
          <w:sz w:val="24"/>
          <w:szCs w:val="24"/>
        </w:rPr>
        <w:t xml:space="preserve"> Kim, </w:t>
      </w:r>
      <w:r w:rsidR="00EB4B88" w:rsidRPr="00EB4B88">
        <w:rPr>
          <w:rFonts w:ascii="Times New Roman" w:hAnsi="Times New Roman" w:cs="Times New Roman"/>
          <w:i/>
          <w:noProof/>
          <w:sz w:val="24"/>
          <w:szCs w:val="24"/>
        </w:rPr>
        <w:t>Chemical Engineering Science</w:t>
      </w:r>
      <w:r w:rsidR="007971A6">
        <w:rPr>
          <w:rFonts w:ascii="Times New Roman" w:hAnsi="Times New Roman" w:cs="Times New Roman"/>
          <w:noProof/>
          <w:sz w:val="24"/>
          <w:szCs w:val="24"/>
        </w:rPr>
        <w:t xml:space="preserve"> 64</w:t>
      </w:r>
      <w:r w:rsidR="00EB4B88" w:rsidRPr="00EB4B88">
        <w:rPr>
          <w:rFonts w:ascii="Times New Roman" w:hAnsi="Times New Roman" w:cs="Times New Roman"/>
          <w:noProof/>
          <w:sz w:val="24"/>
          <w:szCs w:val="24"/>
        </w:rPr>
        <w:t>(2009)</w:t>
      </w:r>
      <w:r w:rsidR="007971A6">
        <w:rPr>
          <w:rFonts w:ascii="Times New Roman" w:hAnsi="Times New Roman" w:cs="Times New Roman"/>
          <w:noProof/>
          <w:sz w:val="24"/>
          <w:szCs w:val="24"/>
        </w:rPr>
        <w:t>1373</w:t>
      </w:r>
      <w:r w:rsidR="00EB4B88" w:rsidRPr="00EB4B88">
        <w:rPr>
          <w:rFonts w:ascii="Times New Roman" w:hAnsi="Times New Roman" w:cs="Times New Roman"/>
          <w:noProof/>
          <w:sz w:val="24"/>
          <w:szCs w:val="24"/>
        </w:rPr>
        <w:t>.</w:t>
      </w:r>
    </w:p>
    <w:p w:rsidR="00EB4B88" w:rsidRPr="00EB4B88" w:rsidRDefault="00152B39" w:rsidP="00EB4B88">
      <w:pPr>
        <w:pStyle w:val="ListParagraph"/>
        <w:numPr>
          <w:ilvl w:val="0"/>
          <w:numId w:val="1"/>
        </w:numPr>
        <w:spacing w:after="0" w:line="240" w:lineRule="auto"/>
        <w:rPr>
          <w:rFonts w:ascii="Times New Roman" w:hAnsi="Times New Roman" w:cs="Times New Roman"/>
          <w:sz w:val="24"/>
          <w:szCs w:val="24"/>
          <w:lang w:val="en-CA"/>
        </w:rPr>
      </w:pPr>
      <w:r>
        <w:rPr>
          <w:rFonts w:ascii="Times New Roman" w:hAnsi="Times New Roman" w:cs="Times New Roman"/>
          <w:noProof/>
          <w:sz w:val="24"/>
          <w:szCs w:val="24"/>
        </w:rPr>
        <w:t xml:space="preserve">M. </w:t>
      </w:r>
      <w:r w:rsidR="00EB4B88" w:rsidRPr="00EB4B88">
        <w:rPr>
          <w:rFonts w:ascii="Times New Roman" w:hAnsi="Times New Roman" w:cs="Times New Roman"/>
          <w:noProof/>
          <w:sz w:val="24"/>
          <w:szCs w:val="24"/>
        </w:rPr>
        <w:t xml:space="preserve">Skoglundh, </w:t>
      </w:r>
      <w:r>
        <w:rPr>
          <w:rFonts w:ascii="Times New Roman" w:hAnsi="Times New Roman" w:cs="Times New Roman"/>
          <w:noProof/>
          <w:sz w:val="24"/>
          <w:szCs w:val="24"/>
        </w:rPr>
        <w:t>L.O.</w:t>
      </w:r>
      <w:r w:rsidR="00EB4B88" w:rsidRPr="00EB4B88">
        <w:rPr>
          <w:rFonts w:ascii="Times New Roman" w:hAnsi="Times New Roman" w:cs="Times New Roman"/>
          <w:noProof/>
          <w:sz w:val="24"/>
          <w:szCs w:val="24"/>
        </w:rPr>
        <w:t xml:space="preserve"> Lowendahl, and </w:t>
      </w:r>
      <w:r>
        <w:rPr>
          <w:rFonts w:ascii="Times New Roman" w:hAnsi="Times New Roman" w:cs="Times New Roman"/>
          <w:noProof/>
          <w:sz w:val="24"/>
          <w:szCs w:val="24"/>
        </w:rPr>
        <w:t xml:space="preserve">J.E. </w:t>
      </w:r>
      <w:r w:rsidR="00EB4B88" w:rsidRPr="00EB4B88">
        <w:rPr>
          <w:rFonts w:ascii="Times New Roman" w:hAnsi="Times New Roman" w:cs="Times New Roman"/>
          <w:noProof/>
          <w:sz w:val="24"/>
          <w:szCs w:val="24"/>
        </w:rPr>
        <w:t>Ottersted,</w:t>
      </w:r>
      <w:r w:rsidR="00EB4B88" w:rsidRPr="00EB4B88">
        <w:rPr>
          <w:rFonts w:ascii="Times New Roman" w:hAnsi="Times New Roman" w:cs="Times New Roman"/>
          <w:sz w:val="24"/>
          <w:szCs w:val="24"/>
        </w:rPr>
        <w:t xml:space="preserve"> </w:t>
      </w:r>
      <w:r w:rsidR="00EB4B88" w:rsidRPr="00EB4B88">
        <w:rPr>
          <w:rFonts w:ascii="Times New Roman" w:hAnsi="Times New Roman" w:cs="Times New Roman"/>
          <w:noProof/>
          <w:sz w:val="24"/>
          <w:szCs w:val="24"/>
        </w:rPr>
        <w:t xml:space="preserve">J.E. </w:t>
      </w:r>
      <w:r w:rsidR="00EB4B88" w:rsidRPr="00EB4B88">
        <w:rPr>
          <w:rFonts w:ascii="Times New Roman" w:hAnsi="Times New Roman" w:cs="Times New Roman"/>
          <w:i/>
          <w:noProof/>
          <w:sz w:val="24"/>
          <w:szCs w:val="24"/>
        </w:rPr>
        <w:t>Applied Catalysis</w:t>
      </w:r>
      <w:r w:rsidR="007971A6">
        <w:rPr>
          <w:rFonts w:ascii="Times New Roman" w:hAnsi="Times New Roman" w:cs="Times New Roman"/>
          <w:noProof/>
          <w:sz w:val="24"/>
          <w:szCs w:val="24"/>
        </w:rPr>
        <w:t xml:space="preserve"> 77</w:t>
      </w:r>
      <w:r w:rsidR="00EB4B88" w:rsidRPr="00EB4B88">
        <w:rPr>
          <w:rFonts w:ascii="Times New Roman" w:hAnsi="Times New Roman" w:cs="Times New Roman"/>
          <w:noProof/>
          <w:sz w:val="24"/>
          <w:szCs w:val="24"/>
        </w:rPr>
        <w:t>(1991)</w:t>
      </w:r>
      <w:r w:rsidR="007971A6">
        <w:rPr>
          <w:rFonts w:ascii="Times New Roman" w:hAnsi="Times New Roman" w:cs="Times New Roman"/>
          <w:noProof/>
          <w:sz w:val="24"/>
          <w:szCs w:val="24"/>
        </w:rPr>
        <w:t>9</w:t>
      </w:r>
      <w:r w:rsidR="00EB4B88" w:rsidRPr="00EB4B88">
        <w:rPr>
          <w:rFonts w:ascii="Times New Roman" w:hAnsi="Times New Roman" w:cs="Times New Roman"/>
          <w:noProof/>
          <w:sz w:val="24"/>
          <w:szCs w:val="24"/>
        </w:rPr>
        <w:t>.</w:t>
      </w:r>
    </w:p>
    <w:p w:rsidR="00EB4B88" w:rsidRPr="00152B39" w:rsidRDefault="00EB4B88" w:rsidP="00EB4B88">
      <w:pPr>
        <w:pStyle w:val="ListParagraph"/>
        <w:numPr>
          <w:ilvl w:val="0"/>
          <w:numId w:val="1"/>
        </w:numPr>
        <w:spacing w:after="0" w:line="240" w:lineRule="auto"/>
        <w:rPr>
          <w:rFonts w:ascii="Times New Roman" w:hAnsi="Times New Roman" w:cs="Times New Roman"/>
          <w:sz w:val="24"/>
          <w:szCs w:val="24"/>
          <w:lang w:val="en-CA"/>
        </w:rPr>
      </w:pPr>
      <w:r w:rsidRPr="00152B39">
        <w:rPr>
          <w:rFonts w:ascii="Times New Roman" w:hAnsi="Times New Roman" w:cs="Times New Roman"/>
          <w:noProof/>
          <w:sz w:val="24"/>
          <w:szCs w:val="24"/>
        </w:rPr>
        <w:t xml:space="preserve">S. E. Voltz, C. R. Morgan, D. Liederman and S. M. Jacob, </w:t>
      </w:r>
      <w:r w:rsidRPr="00152B39">
        <w:rPr>
          <w:rFonts w:ascii="Times New Roman" w:hAnsi="Times New Roman" w:cs="Times New Roman"/>
          <w:i/>
          <w:iCs/>
          <w:noProof/>
          <w:sz w:val="24"/>
          <w:szCs w:val="24"/>
        </w:rPr>
        <w:t xml:space="preserve">Industrial &amp; Engineering Chemistry Product Research and Development, </w:t>
      </w:r>
      <w:r w:rsidRPr="00152B39">
        <w:rPr>
          <w:rFonts w:ascii="Times New Roman" w:hAnsi="Times New Roman" w:cs="Times New Roman"/>
          <w:noProof/>
          <w:sz w:val="24"/>
          <w:szCs w:val="24"/>
        </w:rPr>
        <w:t>12</w:t>
      </w:r>
      <w:r w:rsidR="00152B39">
        <w:rPr>
          <w:rFonts w:ascii="Times New Roman" w:hAnsi="Times New Roman" w:cs="Times New Roman"/>
          <w:noProof/>
          <w:sz w:val="24"/>
          <w:szCs w:val="24"/>
        </w:rPr>
        <w:t>(1973)</w:t>
      </w:r>
      <w:r w:rsidRPr="00152B39">
        <w:rPr>
          <w:rFonts w:ascii="Times New Roman" w:hAnsi="Times New Roman" w:cs="Times New Roman"/>
          <w:noProof/>
          <w:sz w:val="24"/>
          <w:szCs w:val="24"/>
        </w:rPr>
        <w:t>294</w:t>
      </w:r>
      <w:r w:rsidR="00152B39">
        <w:rPr>
          <w:rFonts w:ascii="Times New Roman" w:hAnsi="Times New Roman" w:cs="Times New Roman"/>
          <w:noProof/>
          <w:sz w:val="24"/>
          <w:szCs w:val="24"/>
        </w:rPr>
        <w:t>.</w:t>
      </w:r>
    </w:p>
    <w:p w:rsidR="00EB4B88" w:rsidRPr="00EB4B88" w:rsidRDefault="00EB4B88" w:rsidP="00EB4B88">
      <w:pPr>
        <w:rPr>
          <w:sz w:val="24"/>
          <w:szCs w:val="24"/>
        </w:rPr>
      </w:pPr>
    </w:p>
    <w:sectPr w:rsidR="00EB4B88" w:rsidRPr="00EB4B88" w:rsidSect="004D3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dvGulliv-R">
    <w:altName w:val="Batang"/>
    <w:panose1 w:val="00000000000000000000"/>
    <w:charset w:val="81"/>
    <w:family w:val="auto"/>
    <w:notTrueType/>
    <w:pitch w:val="default"/>
    <w:sig w:usb0="00000003" w:usb1="09060000" w:usb2="00000010"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E5B3D"/>
    <w:multiLevelType w:val="singleLevel"/>
    <w:tmpl w:val="0409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EB4B88"/>
    <w:rsid w:val="0003036E"/>
    <w:rsid w:val="000F549A"/>
    <w:rsid w:val="00152B39"/>
    <w:rsid w:val="001F18EF"/>
    <w:rsid w:val="002E21E3"/>
    <w:rsid w:val="002F32EE"/>
    <w:rsid w:val="003D370C"/>
    <w:rsid w:val="003F05AC"/>
    <w:rsid w:val="004D3D0B"/>
    <w:rsid w:val="007971A6"/>
    <w:rsid w:val="00EB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B8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EB4B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NACSAbstract">
    <w:name w:val="Title NACS Abstract"/>
    <w:basedOn w:val="Heading1"/>
    <w:rsid w:val="00EB4B88"/>
    <w:pPr>
      <w:keepLines w:val="0"/>
      <w:spacing w:before="0"/>
      <w:jc w:val="center"/>
    </w:pPr>
    <w:rPr>
      <w:rFonts w:ascii="Times New Roman" w:eastAsia="Times New Roman" w:hAnsi="Times New Roman" w:cs="Times New Roman"/>
      <w:bCs w:val="0"/>
      <w:color w:val="auto"/>
      <w:sz w:val="20"/>
      <w:szCs w:val="20"/>
    </w:rPr>
  </w:style>
  <w:style w:type="paragraph" w:customStyle="1" w:styleId="AuthorsNACS">
    <w:name w:val="Authors NACS"/>
    <w:basedOn w:val="Normal"/>
    <w:rsid w:val="00EB4B88"/>
    <w:pPr>
      <w:jc w:val="center"/>
    </w:pPr>
    <w:rPr>
      <w:sz w:val="16"/>
    </w:rPr>
  </w:style>
  <w:style w:type="paragraph" w:customStyle="1" w:styleId="BodyTextNACS">
    <w:name w:val="Body Text NACS"/>
    <w:basedOn w:val="BodyText"/>
    <w:rsid w:val="00EB4B88"/>
    <w:pPr>
      <w:spacing w:after="0"/>
      <w:jc w:val="both"/>
    </w:pPr>
    <w:rPr>
      <w:sz w:val="16"/>
    </w:rPr>
  </w:style>
  <w:style w:type="paragraph" w:customStyle="1" w:styleId="AuthorAddressNACS">
    <w:name w:val="Author Address NACS"/>
    <w:basedOn w:val="Normal"/>
    <w:rsid w:val="00EB4B88"/>
    <w:pPr>
      <w:jc w:val="center"/>
    </w:pPr>
    <w:rPr>
      <w:i/>
      <w:sz w:val="16"/>
    </w:rPr>
  </w:style>
  <w:style w:type="character" w:customStyle="1" w:styleId="Heading1Char">
    <w:name w:val="Heading 1 Char"/>
    <w:basedOn w:val="DefaultParagraphFont"/>
    <w:link w:val="Heading1"/>
    <w:uiPriority w:val="9"/>
    <w:rsid w:val="00EB4B88"/>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EB4B88"/>
    <w:pPr>
      <w:spacing w:after="120"/>
    </w:pPr>
  </w:style>
  <w:style w:type="character" w:customStyle="1" w:styleId="BodyTextChar">
    <w:name w:val="Body Text Char"/>
    <w:basedOn w:val="DefaultParagraphFont"/>
    <w:link w:val="BodyText"/>
    <w:uiPriority w:val="99"/>
    <w:semiHidden/>
    <w:rsid w:val="00EB4B88"/>
    <w:rPr>
      <w:rFonts w:ascii="Times New Roman" w:eastAsia="Times New Roman" w:hAnsi="Times New Roman" w:cs="Times New Roman"/>
      <w:sz w:val="20"/>
      <w:szCs w:val="20"/>
    </w:rPr>
  </w:style>
  <w:style w:type="paragraph" w:customStyle="1" w:styleId="SectionHeadingNACS">
    <w:name w:val="Section Heading NACS"/>
    <w:basedOn w:val="Heading1"/>
    <w:rsid w:val="00EB4B88"/>
    <w:pPr>
      <w:keepLines w:val="0"/>
      <w:spacing w:before="0"/>
    </w:pPr>
    <w:rPr>
      <w:rFonts w:ascii="Times New Roman" w:eastAsia="Times New Roman" w:hAnsi="Times New Roman" w:cs="Times New Roman"/>
      <w:bCs w:val="0"/>
      <w:color w:val="auto"/>
      <w:sz w:val="16"/>
      <w:szCs w:val="20"/>
    </w:rPr>
  </w:style>
  <w:style w:type="paragraph" w:styleId="ListParagraph">
    <w:name w:val="List Paragraph"/>
    <w:basedOn w:val="Normal"/>
    <w:uiPriority w:val="34"/>
    <w:qFormat/>
    <w:rsid w:val="00EB4B88"/>
    <w:pPr>
      <w:spacing w:after="200" w:line="276" w:lineRule="auto"/>
      <w:ind w:left="720"/>
      <w:contextualSpacing/>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Houston</Company>
  <LinksUpToDate>false</LinksUpToDate>
  <CharactersWithSpaces>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wsepling</dc:creator>
  <cp:lastModifiedBy>wepling</cp:lastModifiedBy>
  <cp:revision>7</cp:revision>
  <dcterms:created xsi:type="dcterms:W3CDTF">2014-05-12T16:33:00Z</dcterms:created>
  <dcterms:modified xsi:type="dcterms:W3CDTF">2014-05-12T23:21:00Z</dcterms:modified>
</cp:coreProperties>
</file>