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7895" w:rsidRDefault="00F125FF" w:rsidP="003048A2">
      <w:pPr>
        <w:spacing w:after="12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bookmarkStart w:id="0" w:name="_GoBack"/>
      <w:bookmarkEnd w:id="0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Several industrial processes have rendered s</w:t>
      </w:r>
      <w:r w:rsidRPr="008322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oil and groundwater </w:t>
      </w:r>
      <w:r w:rsidR="00E33906" w:rsidRPr="008322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contaminated </w:t>
      </w:r>
      <w:r w:rsidRPr="008322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 thousands of sites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8322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due to detrimental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storage and disposal practices. These practices have resulted in the</w:t>
      </w:r>
      <w:r w:rsidRPr="00DA3562">
        <w:rPr>
          <w:rFonts w:ascii="Times New Roman" w:hAnsi="Times New Roman" w:cs="Times New Roman"/>
          <w:sz w:val="24"/>
          <w:szCs w:val="24"/>
        </w:rPr>
        <w:t xml:space="preserve"> </w:t>
      </w:r>
      <w:r w:rsidR="00E33906">
        <w:rPr>
          <w:rFonts w:ascii="Times New Roman" w:hAnsi="Times New Roman" w:cs="Times New Roman"/>
          <w:sz w:val="24"/>
          <w:szCs w:val="24"/>
        </w:rPr>
        <w:t xml:space="preserve">combined </w:t>
      </w:r>
      <w:r w:rsidRPr="00DA3562">
        <w:rPr>
          <w:rFonts w:ascii="Times New Roman" w:hAnsi="Times New Roman" w:cs="Times New Roman"/>
          <w:sz w:val="24"/>
          <w:szCs w:val="24"/>
        </w:rPr>
        <w:t>presence</w:t>
      </w:r>
      <w:r>
        <w:rPr>
          <w:rFonts w:ascii="Times New Roman" w:hAnsi="Times New Roman" w:cs="Times New Roman"/>
          <w:sz w:val="24"/>
          <w:szCs w:val="24"/>
        </w:rPr>
        <w:t xml:space="preserve"> or co-existence</w:t>
      </w:r>
      <w:r w:rsidRPr="00DA3562">
        <w:rPr>
          <w:rFonts w:ascii="Times New Roman" w:hAnsi="Times New Roman" w:cs="Times New Roman"/>
          <w:sz w:val="24"/>
          <w:szCs w:val="24"/>
        </w:rPr>
        <w:t xml:space="preserve"> of organic and inor</w:t>
      </w:r>
      <w:r w:rsidR="00E33906">
        <w:rPr>
          <w:rFonts w:ascii="Times New Roman" w:hAnsi="Times New Roman" w:cs="Times New Roman"/>
          <w:sz w:val="24"/>
          <w:szCs w:val="24"/>
        </w:rPr>
        <w:t>ga</w:t>
      </w:r>
      <w:r w:rsidRPr="00DA3562">
        <w:rPr>
          <w:rFonts w:ascii="Times New Roman" w:hAnsi="Times New Roman" w:cs="Times New Roman"/>
          <w:sz w:val="24"/>
          <w:szCs w:val="24"/>
        </w:rPr>
        <w:t xml:space="preserve">nic </w:t>
      </w:r>
      <w:r w:rsidR="00E07895">
        <w:rPr>
          <w:rFonts w:ascii="Times New Roman" w:hAnsi="Times New Roman" w:cs="Times New Roman"/>
          <w:sz w:val="24"/>
          <w:szCs w:val="24"/>
        </w:rPr>
        <w:t xml:space="preserve">contaminants </w:t>
      </w:r>
      <w:r w:rsidR="00333EBF">
        <w:rPr>
          <w:rFonts w:ascii="Times New Roman" w:hAnsi="Times New Roman" w:cs="Times New Roman"/>
          <w:sz w:val="24"/>
          <w:szCs w:val="24"/>
        </w:rPr>
        <w:t xml:space="preserve">at </w:t>
      </w:r>
      <w:r>
        <w:rPr>
          <w:rFonts w:ascii="Times New Roman" w:hAnsi="Times New Roman" w:cs="Times New Roman"/>
          <w:sz w:val="24"/>
          <w:szCs w:val="24"/>
        </w:rPr>
        <w:t>most sites</w:t>
      </w:r>
      <w:r w:rsidRPr="008322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In this paper,</w:t>
      </w:r>
      <w:r w:rsidR="00E07895" w:rsidRPr="00E078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E078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</w:t>
      </w:r>
      <w:r w:rsidR="00E07895" w:rsidRPr="008322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he synergistic and antagonistic effect</w:t>
      </w:r>
      <w:r w:rsidR="00E078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</w:t>
      </w:r>
      <w:r w:rsidR="00E07895" w:rsidRPr="008322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of trichloroethylene</w:t>
      </w:r>
      <w:r w:rsidR="00E078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(TCE)</w:t>
      </w:r>
      <w:r w:rsidR="00E07895" w:rsidRPr="008322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and hexavalent chromium</w:t>
      </w:r>
      <w:r w:rsidR="00D057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E3390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Cr</w:t>
      </w:r>
      <w:r w:rsidR="00D057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(VI</w:t>
      </w:r>
      <w:r w:rsidR="00E3390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="00E07895" w:rsidRPr="008322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333E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on the degradation of each contaminant </w:t>
      </w:r>
      <w:r w:rsidR="00E07895" w:rsidRPr="008322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were explored by simultaneous </w:t>
      </w:r>
      <w:r w:rsidR="00E078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removal</w:t>
      </w:r>
      <w:r w:rsidR="00E07895" w:rsidRPr="008322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E078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via redox reactions </w:t>
      </w:r>
      <w:r w:rsidR="00E07895" w:rsidRPr="008322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 the same system.</w:t>
      </w:r>
    </w:p>
    <w:p w:rsidR="00FA0B52" w:rsidRPr="009A4415" w:rsidRDefault="00E07895" w:rsidP="003048A2">
      <w:pPr>
        <w:spacing w:after="120" w:line="360" w:lineRule="auto"/>
        <w:jc w:val="both"/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</w:t>
      </w:r>
      <w:r w:rsidR="00F12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he</w:t>
      </w:r>
      <w:r w:rsidR="00F125FF" w:rsidRPr="008322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extent and kinetics of trichloroethylene</w:t>
      </w:r>
      <w:r w:rsidR="0090305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8322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degradation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using KMnO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bscript"/>
        </w:rPr>
        <w:t>4</w:t>
      </w:r>
      <w:r w:rsidRPr="008322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F125FF" w:rsidRPr="008322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in artificially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spiked</w:t>
      </w:r>
      <w:r w:rsidRPr="008322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F125FF" w:rsidRPr="008322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soil and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aqueous systems </w:t>
      </w:r>
      <w:r w:rsidR="00F12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were investigated</w:t>
      </w:r>
      <w:r w:rsidR="0090305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At molar ratios of 1:3</w:t>
      </w:r>
      <w:r w:rsidR="00D057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(stoichiometric)</w:t>
      </w:r>
      <w:r w:rsidR="0090305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1:5, 1:10 of TCE to KMnO</w:t>
      </w:r>
      <w:r w:rsidR="0090305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bscript"/>
        </w:rPr>
        <w:t>4</w:t>
      </w:r>
      <w:r w:rsidR="0090305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the 62.5%, 100</w:t>
      </w:r>
      <w:r w:rsidR="00C0617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%, and 100</w:t>
      </w:r>
      <w:r w:rsidR="00E3390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% </w:t>
      </w:r>
      <w:r w:rsidR="0090305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of TCE </w:t>
      </w:r>
      <w:r w:rsidR="00E3390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were oxidized</w:t>
      </w:r>
      <w:r w:rsidR="00333E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at neutral pH</w:t>
      </w:r>
      <w:r w:rsidR="00E3390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="0090305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respectively in aqueous system</w:t>
      </w:r>
      <w:r w:rsidR="00333E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</w:t>
      </w:r>
      <w:r w:rsidR="004855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="0090305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Under extreme pH conditions of 2.</w:t>
      </w:r>
      <w:r w:rsidR="003D65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8 </w:t>
      </w:r>
      <w:r w:rsidR="0090305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and 12</w:t>
      </w:r>
      <w:r w:rsidR="003D65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9F2B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for </w:t>
      </w:r>
      <w:r w:rsidR="003D65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stoichiometric</w:t>
      </w:r>
      <w:r w:rsidR="009F2B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molar ratio,</w:t>
      </w:r>
      <w:r w:rsidR="0090305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4855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63.75% and 82.25% yield was </w:t>
      </w:r>
      <w:r w:rsidR="00D057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achieved </w:t>
      </w:r>
      <w:r w:rsidR="004855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 a 3-hour time</w:t>
      </w:r>
      <w:r w:rsidR="00D057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to equilibrium</w:t>
      </w:r>
      <w:r w:rsidR="004855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In soil systems, the duration required for </w:t>
      </w:r>
      <w:r w:rsidR="00424893" w:rsidRPr="003048A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equilibrium</w:t>
      </w:r>
      <w:r w:rsidR="0042489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4855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degradation was longer wi</w:t>
      </w:r>
      <w:r w:rsidR="009F2B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 62.8%, 96% and 100% </w:t>
      </w:r>
      <w:r w:rsidR="0042489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conversions </w:t>
      </w:r>
      <w:r w:rsidR="009F2B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 3</w:t>
      </w:r>
      <w:r w:rsidR="00D057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4855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day</w:t>
      </w:r>
      <w:r w:rsidR="009F2B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s.</w:t>
      </w:r>
      <w:r w:rsidR="004855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F125FF" w:rsidRPr="008322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Also, the</w:t>
      </w:r>
      <w:r w:rsidR="009F2B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F125FF" w:rsidRPr="008322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reductive transformation of toxic hexavalent chromium</w:t>
      </w:r>
      <w:r w:rsidR="00F12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Cr (VI)</w:t>
      </w:r>
      <w:r w:rsidR="00F125FF" w:rsidRPr="008322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to non-toxic trivalent</w:t>
      </w:r>
      <w:r w:rsidR="00F12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Cr (III)</w:t>
      </w:r>
      <w:r w:rsidR="00F125FF" w:rsidRPr="008322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4855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using ferrous ion</w:t>
      </w:r>
      <w:r w:rsidR="009F2B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was performed.</w:t>
      </w:r>
      <w:r w:rsidR="004855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9F2B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In a 3-hour period, 43.97% and 84.21% degradation was obtained </w:t>
      </w:r>
      <w:r w:rsidR="0042489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for </w:t>
      </w:r>
      <w:r w:rsidR="009F2B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 ratio of 1:3 </w:t>
      </w:r>
      <w:r w:rsidR="0042489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(Cr</w:t>
      </w:r>
      <w:r w:rsidR="00424893" w:rsidRPr="003048A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+6</w:t>
      </w:r>
      <w:r w:rsidR="0042489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to FeSO</w:t>
      </w:r>
      <w:r w:rsidR="00424893" w:rsidRPr="003048A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bscript"/>
        </w:rPr>
        <w:t>4</w:t>
      </w:r>
      <w:r w:rsidR="0042489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) </w:t>
      </w:r>
      <w:r w:rsidR="009F2B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and 1: 6 respectively in aqueous system</w:t>
      </w:r>
      <w:r w:rsidR="00E16A0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</w:t>
      </w:r>
      <w:r w:rsidR="00F125FF" w:rsidRPr="008322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="00E25F3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This </w:t>
      </w:r>
      <w:r w:rsidR="0042489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is fast </w:t>
      </w:r>
      <w:r w:rsidR="00E25F3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reaction along with the precipitations of ferric ion and Cr</w:t>
      </w:r>
      <w:r w:rsidR="00E16A0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E25F3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(III) colloid in the system which ultimately quench or slow the reaction significantly. Under strong alkaline condition</w:t>
      </w:r>
      <w:r w:rsidR="003048A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</w:t>
      </w:r>
      <w:r w:rsidR="00E25F3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the degradation was more effective. However, pH variation does not largely impact the overall reaction at equilibrium. In soil, the </w:t>
      </w:r>
      <w:r w:rsidR="00333E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conversions</w:t>
      </w:r>
      <w:r w:rsidR="00E25F3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of 73% and 91.9% </w:t>
      </w:r>
      <w:r w:rsidR="00333E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were achieved </w:t>
      </w:r>
      <w:r w:rsidR="00E25F3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at molar ratios of 1:10 and 1:15 respectively in 3</w:t>
      </w:r>
      <w:r w:rsidR="0042489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E25F3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hours</w:t>
      </w:r>
      <w:r w:rsidR="009A44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="003048A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</w:t>
      </w:r>
      <w:r w:rsidR="009A44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he result indicated that TCE oxidation by </w:t>
      </w:r>
      <w:r w:rsidR="009A4415">
        <w:rPr>
          <w:rFonts w:ascii="Times New Roman" w:hAnsi="Times New Roman" w:cs="Times New Roman"/>
          <w:sz w:val="24"/>
        </w:rPr>
        <w:t>K</w:t>
      </w:r>
      <w:r w:rsidR="009A4415">
        <w:rPr>
          <w:rFonts w:ascii="Times New Roman" w:hAnsi="Times New Roman" w:cs="Times New Roman"/>
          <w:sz w:val="24"/>
          <w:vertAlign w:val="subscript"/>
        </w:rPr>
        <w:t>2</w:t>
      </w:r>
      <w:r w:rsidR="009A4415">
        <w:rPr>
          <w:rFonts w:ascii="Times New Roman" w:hAnsi="Times New Roman" w:cs="Times New Roman"/>
          <w:sz w:val="24"/>
        </w:rPr>
        <w:t>Cr</w:t>
      </w:r>
      <w:r w:rsidR="009A4415">
        <w:rPr>
          <w:rFonts w:ascii="Times New Roman" w:hAnsi="Times New Roman" w:cs="Times New Roman"/>
          <w:sz w:val="24"/>
          <w:vertAlign w:val="subscript"/>
        </w:rPr>
        <w:t>2</w:t>
      </w:r>
      <w:r w:rsidR="009A4415">
        <w:rPr>
          <w:rFonts w:ascii="Times New Roman" w:hAnsi="Times New Roman" w:cs="Times New Roman"/>
          <w:sz w:val="24"/>
        </w:rPr>
        <w:t>O</w:t>
      </w:r>
      <w:r w:rsidR="009A4415">
        <w:rPr>
          <w:rFonts w:ascii="Times New Roman" w:hAnsi="Times New Roman" w:cs="Times New Roman"/>
          <w:sz w:val="24"/>
          <w:vertAlign w:val="subscript"/>
        </w:rPr>
        <w:t xml:space="preserve">7 </w:t>
      </w:r>
      <w:r w:rsidR="009A4415">
        <w:rPr>
          <w:rFonts w:ascii="Times New Roman" w:hAnsi="Times New Roman" w:cs="Times New Roman"/>
          <w:sz w:val="24"/>
        </w:rPr>
        <w:t>is not impacted by the presence of Cr</w:t>
      </w:r>
      <w:r w:rsidR="00333EBF">
        <w:rPr>
          <w:rFonts w:ascii="Times New Roman" w:hAnsi="Times New Roman" w:cs="Times New Roman"/>
          <w:sz w:val="24"/>
        </w:rPr>
        <w:t xml:space="preserve"> </w:t>
      </w:r>
      <w:r w:rsidR="009A4415">
        <w:rPr>
          <w:rFonts w:ascii="Times New Roman" w:hAnsi="Times New Roman" w:cs="Times New Roman"/>
          <w:sz w:val="24"/>
        </w:rPr>
        <w:t>(VI),</w:t>
      </w:r>
      <w:r w:rsidR="003048A2">
        <w:rPr>
          <w:rFonts w:ascii="Times New Roman" w:hAnsi="Times New Roman" w:cs="Times New Roman"/>
          <w:sz w:val="24"/>
        </w:rPr>
        <w:t xml:space="preserve"> but</w:t>
      </w:r>
      <w:r w:rsidR="009A4415">
        <w:rPr>
          <w:rFonts w:ascii="Times New Roman" w:hAnsi="Times New Roman" w:cs="Times New Roman"/>
          <w:sz w:val="24"/>
        </w:rPr>
        <w:t xml:space="preserve"> the reduction of Cr</w:t>
      </w:r>
      <w:r w:rsidR="00333EBF">
        <w:rPr>
          <w:rFonts w:ascii="Times New Roman" w:hAnsi="Times New Roman" w:cs="Times New Roman"/>
          <w:sz w:val="24"/>
        </w:rPr>
        <w:t xml:space="preserve"> </w:t>
      </w:r>
      <w:r w:rsidR="009A4415">
        <w:rPr>
          <w:rFonts w:ascii="Times New Roman" w:hAnsi="Times New Roman" w:cs="Times New Roman"/>
          <w:sz w:val="24"/>
        </w:rPr>
        <w:t xml:space="preserve">(VI) by ferrous ion was influenced greatly by the presence of TCE. </w:t>
      </w:r>
      <w:r w:rsidR="003048A2">
        <w:rPr>
          <w:rFonts w:ascii="Times New Roman" w:hAnsi="Times New Roman" w:cs="Times New Roman"/>
          <w:sz w:val="24"/>
        </w:rPr>
        <w:t xml:space="preserve">Significance of these findings will be discussed in the presentation. </w:t>
      </w:r>
    </w:p>
    <w:sectPr w:rsidR="00FA0B52" w:rsidRPr="009A4415" w:rsidSect="00FA0B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5FF"/>
    <w:rsid w:val="0003355F"/>
    <w:rsid w:val="003048A2"/>
    <w:rsid w:val="00333EBF"/>
    <w:rsid w:val="003D654F"/>
    <w:rsid w:val="00424893"/>
    <w:rsid w:val="00434A3B"/>
    <w:rsid w:val="00485582"/>
    <w:rsid w:val="00771F73"/>
    <w:rsid w:val="008A41B1"/>
    <w:rsid w:val="00903050"/>
    <w:rsid w:val="009A4415"/>
    <w:rsid w:val="009F2BBF"/>
    <w:rsid w:val="00B2130B"/>
    <w:rsid w:val="00B501F2"/>
    <w:rsid w:val="00B64E6D"/>
    <w:rsid w:val="00C0617B"/>
    <w:rsid w:val="00D05703"/>
    <w:rsid w:val="00E07895"/>
    <w:rsid w:val="00E16A0F"/>
    <w:rsid w:val="00E25F32"/>
    <w:rsid w:val="00E33906"/>
    <w:rsid w:val="00F125FF"/>
    <w:rsid w:val="00FA0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4426B17-475C-423D-8F0D-2B32582F4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25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INP-33</dc:creator>
  <cp:lastModifiedBy>Chawla, Ramesh C.</cp:lastModifiedBy>
  <cp:revision>2</cp:revision>
  <dcterms:created xsi:type="dcterms:W3CDTF">2014-05-13T00:36:00Z</dcterms:created>
  <dcterms:modified xsi:type="dcterms:W3CDTF">2014-05-13T00:36:00Z</dcterms:modified>
</cp:coreProperties>
</file>