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38E" w:rsidRDefault="00CA038E" w:rsidP="00CA038E">
      <w:pPr>
        <w:rPr>
          <w:b/>
        </w:rPr>
      </w:pPr>
      <w:r>
        <w:rPr>
          <w:b/>
        </w:rPr>
        <w:t>Inhibition of Intr</w:t>
      </w:r>
      <w:r w:rsidR="002B15AC">
        <w:rPr>
          <w:b/>
        </w:rPr>
        <w:t>a</w:t>
      </w:r>
      <w:r>
        <w:rPr>
          <w:b/>
        </w:rPr>
        <w:t xml:space="preserve">cellular Histone </w:t>
      </w:r>
      <w:proofErr w:type="spellStart"/>
      <w:r>
        <w:rPr>
          <w:b/>
        </w:rPr>
        <w:t>Deacetylase</w:t>
      </w:r>
      <w:proofErr w:type="spellEnd"/>
      <w:r>
        <w:rPr>
          <w:b/>
        </w:rPr>
        <w:t xml:space="preserve"> (HDAC) Enzymes for Enhancement of Transient Transgene Expression</w:t>
      </w:r>
    </w:p>
    <w:p w:rsidR="00CA038E" w:rsidRDefault="00CA038E" w:rsidP="00CA038E">
      <w:r>
        <w:t>Jacob Elmer</w:t>
      </w:r>
      <w:r w:rsidR="00E55050" w:rsidRPr="00E55050">
        <w:rPr>
          <w:vertAlign w:val="superscript"/>
        </w:rPr>
        <w:t>1</w:t>
      </w:r>
      <w:r>
        <w:t>, Matthew Christensen</w:t>
      </w:r>
      <w:r w:rsidR="00E55050" w:rsidRPr="00E55050">
        <w:rPr>
          <w:vertAlign w:val="superscript"/>
        </w:rPr>
        <w:t>1</w:t>
      </w:r>
      <w:r>
        <w:t xml:space="preserve">, </w:t>
      </w:r>
      <w:proofErr w:type="spellStart"/>
      <w:r>
        <w:t>Sutapa</w:t>
      </w:r>
      <w:proofErr w:type="spellEnd"/>
      <w:r>
        <w:t xml:space="preserve"> Barua</w:t>
      </w:r>
      <w:r w:rsidR="00E55050" w:rsidRPr="00E55050">
        <w:rPr>
          <w:vertAlign w:val="superscript"/>
        </w:rPr>
        <w:t>1</w:t>
      </w:r>
      <w:r>
        <w:t>, Jennifer Lehrman</w:t>
      </w:r>
      <w:r w:rsidR="00E55050" w:rsidRPr="00E55050">
        <w:rPr>
          <w:vertAlign w:val="superscript"/>
        </w:rPr>
        <w:t>2</w:t>
      </w:r>
      <w:r>
        <w:t>,</w:t>
      </w:r>
      <w:r w:rsidR="00302F41">
        <w:t xml:space="preserve"> </w:t>
      </w:r>
      <w:proofErr w:type="spellStart"/>
      <w:r w:rsidR="00302F41">
        <w:t>Karmella</w:t>
      </w:r>
      <w:proofErr w:type="spellEnd"/>
      <w:r w:rsidR="00302F41">
        <w:t xml:space="preserve"> Haynes</w:t>
      </w:r>
      <w:r w:rsidR="00E55050">
        <w:rPr>
          <w:vertAlign w:val="superscript"/>
        </w:rPr>
        <w:t>2</w:t>
      </w:r>
      <w:r w:rsidR="00302F41">
        <w:t>,</w:t>
      </w:r>
      <w:r>
        <w:t xml:space="preserve"> and </w:t>
      </w:r>
      <w:proofErr w:type="spellStart"/>
      <w:r>
        <w:t>Kaushal</w:t>
      </w:r>
      <w:proofErr w:type="spellEnd"/>
      <w:r>
        <w:t xml:space="preserve"> Rege</w:t>
      </w:r>
      <w:r w:rsidR="00E55050" w:rsidRPr="00E55050">
        <w:rPr>
          <w:vertAlign w:val="superscript"/>
        </w:rPr>
        <w:t>1</w:t>
      </w:r>
    </w:p>
    <w:p w:rsidR="00CA038E" w:rsidRDefault="00E55050" w:rsidP="00CA038E">
      <w:r>
        <w:t>Chemical Engineering</w:t>
      </w:r>
      <w:r w:rsidRPr="00E55050">
        <w:rPr>
          <w:vertAlign w:val="superscript"/>
        </w:rPr>
        <w:t>1</w:t>
      </w:r>
      <w:r>
        <w:t>, Biological and Health Systems Engineering</w:t>
      </w:r>
      <w:r>
        <w:rPr>
          <w:vertAlign w:val="superscript"/>
        </w:rPr>
        <w:t>2</w:t>
      </w:r>
    </w:p>
    <w:p w:rsidR="00055CE4" w:rsidRPr="00C33F75" w:rsidRDefault="00CA038E">
      <w:pPr>
        <w:rPr>
          <w:rFonts w:cs="Arial"/>
          <w:sz w:val="24"/>
          <w:szCs w:val="24"/>
        </w:rPr>
      </w:pPr>
      <w:r>
        <w:rPr>
          <w:rFonts w:cs="Arial"/>
          <w:sz w:val="24"/>
          <w:szCs w:val="24"/>
        </w:rPr>
        <w:t xml:space="preserve">Histones can significantly limit gene expression by tightly binding DNA and blocking promoter sequences.  However, acetylation of </w:t>
      </w:r>
      <w:proofErr w:type="spellStart"/>
      <w:r>
        <w:rPr>
          <w:rFonts w:cs="Arial"/>
          <w:sz w:val="24"/>
          <w:szCs w:val="24"/>
        </w:rPr>
        <w:t>lysines</w:t>
      </w:r>
      <w:proofErr w:type="spellEnd"/>
      <w:r>
        <w:rPr>
          <w:rFonts w:cs="Arial"/>
          <w:sz w:val="24"/>
          <w:szCs w:val="24"/>
        </w:rPr>
        <w:t xml:space="preserve"> on the surface of histones reduces their positive charge, allowing DNA release and gene expression.   Consequently, genes can be activated by histone acetyl </w:t>
      </w:r>
      <w:proofErr w:type="spellStart"/>
      <w:r>
        <w:rPr>
          <w:rFonts w:cs="Arial"/>
          <w:sz w:val="24"/>
          <w:szCs w:val="24"/>
        </w:rPr>
        <w:t>transferases</w:t>
      </w:r>
      <w:proofErr w:type="spellEnd"/>
      <w:r>
        <w:rPr>
          <w:rFonts w:cs="Arial"/>
          <w:sz w:val="24"/>
          <w:szCs w:val="24"/>
        </w:rPr>
        <w:t xml:space="preserve"> (HATs) and deactivated by histone </w:t>
      </w:r>
      <w:proofErr w:type="spellStart"/>
      <w:r>
        <w:rPr>
          <w:rFonts w:cs="Arial"/>
          <w:sz w:val="24"/>
          <w:szCs w:val="24"/>
        </w:rPr>
        <w:t>deacetylases</w:t>
      </w:r>
      <w:proofErr w:type="spellEnd"/>
      <w:r>
        <w:rPr>
          <w:rFonts w:cs="Arial"/>
          <w:sz w:val="24"/>
          <w:szCs w:val="24"/>
        </w:rPr>
        <w:t xml:space="preserve"> (HDACs).  We have demonstrated that cytoplasmic and nuclear HDAC i</w:t>
      </w:r>
      <w:r w:rsidR="00E55050">
        <w:rPr>
          <w:rFonts w:cs="Arial"/>
          <w:sz w:val="24"/>
          <w:szCs w:val="24"/>
        </w:rPr>
        <w:t>nhibitors significantly enhance</w:t>
      </w:r>
      <w:r>
        <w:rPr>
          <w:rFonts w:cs="Arial"/>
          <w:sz w:val="24"/>
          <w:szCs w:val="24"/>
        </w:rPr>
        <w:t xml:space="preserve"> polymer-mediated transgene expression, by at least up 20-fold in cancer cells.  Transgene expression in up to three different cancer cell lines using different polymers could be </w:t>
      </w:r>
      <w:r w:rsidR="002B15AC">
        <w:rPr>
          <w:rFonts w:cs="Arial"/>
          <w:sz w:val="24"/>
          <w:szCs w:val="24"/>
        </w:rPr>
        <w:t>enh</w:t>
      </w:r>
      <w:r>
        <w:rPr>
          <w:rFonts w:cs="Arial"/>
          <w:sz w:val="24"/>
          <w:szCs w:val="24"/>
        </w:rPr>
        <w:t>a</w:t>
      </w:r>
      <w:r w:rsidR="002B15AC">
        <w:rPr>
          <w:rFonts w:cs="Arial"/>
          <w:sz w:val="24"/>
          <w:szCs w:val="24"/>
        </w:rPr>
        <w:t>n</w:t>
      </w:r>
      <w:r>
        <w:rPr>
          <w:rFonts w:cs="Arial"/>
          <w:sz w:val="24"/>
          <w:szCs w:val="24"/>
        </w:rPr>
        <w:t>ced using HDAC inhibition. In addition, this phenomenon was validated using plasmids expressing fire</w:t>
      </w:r>
      <w:r w:rsidR="002B15AC">
        <w:rPr>
          <w:rFonts w:cs="Arial"/>
          <w:sz w:val="24"/>
          <w:szCs w:val="24"/>
        </w:rPr>
        <w:t>f</w:t>
      </w:r>
      <w:r>
        <w:rPr>
          <w:rFonts w:cs="Arial"/>
          <w:sz w:val="24"/>
          <w:szCs w:val="24"/>
        </w:rPr>
        <w:t xml:space="preserve">ly luciferase reporter or enhanced green fluorescent protein (EGFP) reporters. Effects of cell cycle regulation, chromatin availability, and plasmid localization in the nuclear fraction, were investigated in order to obtain mechanistic insights into enhancing polymer-mediated transgene expression. Further, combination of these epigenetic inhibitors with kinase inhibitors resulted in dramatic enhancements in transgene expression.  Given that HDAC inhibition possesses cancer cell ablation </w:t>
      </w:r>
      <w:proofErr w:type="gramStart"/>
      <w:r>
        <w:rPr>
          <w:rFonts w:cs="Arial"/>
          <w:sz w:val="24"/>
          <w:szCs w:val="24"/>
        </w:rPr>
        <w:t>activity,</w:t>
      </w:r>
      <w:proofErr w:type="gramEnd"/>
      <w:r>
        <w:rPr>
          <w:rFonts w:cs="Arial"/>
          <w:sz w:val="24"/>
          <w:szCs w:val="24"/>
        </w:rPr>
        <w:t xml:space="preserve"> our findings indicate that anticancer activity of the drug may be used in addition to or synergistically with its ability to enhance expression of an exogenously delivered</w:t>
      </w:r>
      <w:bookmarkStart w:id="0" w:name="_GoBack"/>
      <w:bookmarkEnd w:id="0"/>
      <w:r>
        <w:rPr>
          <w:rFonts w:cs="Arial"/>
          <w:sz w:val="24"/>
          <w:szCs w:val="24"/>
        </w:rPr>
        <w:t xml:space="preserve"> transgene.  </w:t>
      </w:r>
    </w:p>
    <w:sectPr w:rsidR="00055CE4" w:rsidRPr="00C33F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38E"/>
    <w:rsid w:val="00055CE4"/>
    <w:rsid w:val="002953E5"/>
    <w:rsid w:val="002B15AC"/>
    <w:rsid w:val="00302F41"/>
    <w:rsid w:val="00C33F75"/>
    <w:rsid w:val="00CA038E"/>
    <w:rsid w:val="00D82CF3"/>
    <w:rsid w:val="00E5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3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CA038E"/>
    <w:pPr>
      <w:spacing w:line="240" w:lineRule="auto"/>
    </w:pPr>
    <w:rPr>
      <w:sz w:val="24"/>
      <w:szCs w:val="24"/>
    </w:rPr>
  </w:style>
  <w:style w:type="character" w:customStyle="1" w:styleId="CommentTextChar">
    <w:name w:val="Comment Text Char"/>
    <w:basedOn w:val="DefaultParagraphFont"/>
    <w:link w:val="CommentText"/>
    <w:uiPriority w:val="99"/>
    <w:semiHidden/>
    <w:rsid w:val="00CA038E"/>
    <w:rPr>
      <w:sz w:val="24"/>
      <w:szCs w:val="24"/>
    </w:rPr>
  </w:style>
  <w:style w:type="character" w:styleId="CommentReference">
    <w:name w:val="annotation reference"/>
    <w:basedOn w:val="DefaultParagraphFont"/>
    <w:uiPriority w:val="99"/>
    <w:semiHidden/>
    <w:unhideWhenUsed/>
    <w:rsid w:val="00CA038E"/>
    <w:rPr>
      <w:sz w:val="18"/>
      <w:szCs w:val="18"/>
    </w:rPr>
  </w:style>
  <w:style w:type="paragraph" w:styleId="BalloonText">
    <w:name w:val="Balloon Text"/>
    <w:basedOn w:val="Normal"/>
    <w:link w:val="BalloonTextChar"/>
    <w:uiPriority w:val="99"/>
    <w:semiHidden/>
    <w:unhideWhenUsed/>
    <w:rsid w:val="00CA03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3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3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CA038E"/>
    <w:pPr>
      <w:spacing w:line="240" w:lineRule="auto"/>
    </w:pPr>
    <w:rPr>
      <w:sz w:val="24"/>
      <w:szCs w:val="24"/>
    </w:rPr>
  </w:style>
  <w:style w:type="character" w:customStyle="1" w:styleId="CommentTextChar">
    <w:name w:val="Comment Text Char"/>
    <w:basedOn w:val="DefaultParagraphFont"/>
    <w:link w:val="CommentText"/>
    <w:uiPriority w:val="99"/>
    <w:semiHidden/>
    <w:rsid w:val="00CA038E"/>
    <w:rPr>
      <w:sz w:val="24"/>
      <w:szCs w:val="24"/>
    </w:rPr>
  </w:style>
  <w:style w:type="character" w:styleId="CommentReference">
    <w:name w:val="annotation reference"/>
    <w:basedOn w:val="DefaultParagraphFont"/>
    <w:uiPriority w:val="99"/>
    <w:semiHidden/>
    <w:unhideWhenUsed/>
    <w:rsid w:val="00CA038E"/>
    <w:rPr>
      <w:sz w:val="18"/>
      <w:szCs w:val="18"/>
    </w:rPr>
  </w:style>
  <w:style w:type="paragraph" w:styleId="BalloonText">
    <w:name w:val="Balloon Text"/>
    <w:basedOn w:val="Normal"/>
    <w:link w:val="BalloonTextChar"/>
    <w:uiPriority w:val="99"/>
    <w:semiHidden/>
    <w:unhideWhenUsed/>
    <w:rsid w:val="00CA03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3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30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2</cp:revision>
  <dcterms:created xsi:type="dcterms:W3CDTF">2014-05-13T03:20:00Z</dcterms:created>
  <dcterms:modified xsi:type="dcterms:W3CDTF">2014-05-13T03:20:00Z</dcterms:modified>
</cp:coreProperties>
</file>