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E4A97D" w14:textId="77777777" w:rsidR="00377FB0" w:rsidRPr="00BC53AA" w:rsidRDefault="00377FB0" w:rsidP="00A7250E">
      <w:pPr>
        <w:widowControl w:val="0"/>
        <w:jc w:val="center"/>
        <w:rPr>
          <w:b/>
        </w:rPr>
      </w:pPr>
      <w:r w:rsidRPr="00BC53AA">
        <w:rPr>
          <w:b/>
        </w:rPr>
        <w:t>Measuring How the Local Glass Transition Temperature Shifts Across a Glassy-Rubbery Polymer-Polymer Interface</w:t>
      </w:r>
    </w:p>
    <w:p w14:paraId="7246E36E" w14:textId="77777777" w:rsidR="00377FB0" w:rsidRDefault="00377FB0" w:rsidP="00A7250E">
      <w:pPr>
        <w:widowControl w:val="0"/>
        <w:jc w:val="center"/>
      </w:pPr>
    </w:p>
    <w:p w14:paraId="248FF24E" w14:textId="77777777" w:rsidR="00377FB0" w:rsidRDefault="00377FB0" w:rsidP="00A7250E">
      <w:pPr>
        <w:widowControl w:val="0"/>
        <w:jc w:val="center"/>
      </w:pPr>
      <w:r>
        <w:t>Roman R. Baglay and Connie B. Roth</w:t>
      </w:r>
    </w:p>
    <w:p w14:paraId="414F5574" w14:textId="77777777" w:rsidR="00377FB0" w:rsidRDefault="00377FB0" w:rsidP="00A7250E">
      <w:pPr>
        <w:widowControl w:val="0"/>
        <w:jc w:val="center"/>
      </w:pPr>
      <w:r>
        <w:t>Department of Physics, Emory University, Atlanta, GA, USA</w:t>
      </w:r>
    </w:p>
    <w:p w14:paraId="1B8E290C" w14:textId="77777777" w:rsidR="00377FB0" w:rsidRDefault="00377FB0" w:rsidP="00A7250E">
      <w:pPr>
        <w:widowControl w:val="0"/>
      </w:pPr>
    </w:p>
    <w:p w14:paraId="37C96609" w14:textId="77777777" w:rsidR="00377FB0" w:rsidRDefault="00377FB0" w:rsidP="00A7250E">
      <w:pPr>
        <w:widowControl w:val="0"/>
      </w:pPr>
      <w:r w:rsidRPr="00BC53AA">
        <w:rPr>
          <w:u w:val="single"/>
        </w:rPr>
        <w:t>Contact information</w:t>
      </w:r>
      <w:r>
        <w:t>:</w:t>
      </w:r>
    </w:p>
    <w:p w14:paraId="445C3558" w14:textId="77777777" w:rsidR="00377FB0" w:rsidRDefault="00377FB0" w:rsidP="00A7250E">
      <w:pPr>
        <w:widowControl w:val="0"/>
      </w:pPr>
      <w:r>
        <w:t>Roman Baglay:  rbaglay@emory.edu</w:t>
      </w:r>
    </w:p>
    <w:p w14:paraId="20775526" w14:textId="77777777" w:rsidR="00377FB0" w:rsidRDefault="00377FB0" w:rsidP="00A7250E">
      <w:pPr>
        <w:widowControl w:val="0"/>
      </w:pPr>
      <w:r>
        <w:t>Connie Roth:  cbroth@emory.edu</w:t>
      </w:r>
    </w:p>
    <w:p w14:paraId="1D0A6707" w14:textId="77777777" w:rsidR="00377FB0" w:rsidRDefault="00377FB0" w:rsidP="00A7250E">
      <w:pPr>
        <w:widowControl w:val="0"/>
      </w:pPr>
    </w:p>
    <w:p w14:paraId="521F52C4" w14:textId="56785AC7" w:rsidR="003E7C5D" w:rsidRDefault="00377FB0" w:rsidP="00A7250E">
      <w:pPr>
        <w:widowControl w:val="0"/>
      </w:pPr>
      <w:r>
        <w:tab/>
        <w:t xml:space="preserve">Recent advances in block copolymer synthesis have led to new routes to forming nanostructured polymer blends putting rubbery, glassy, and crystalline phases in intimate contact.  These new multicomponent block copolymers can be designed to self-assemble into a range of morphologies including unique intertwined co-continuous phases with domain sizes easily less than 100 nm in size.  Efforts to understand the unique properties of these new nanostructured materials have been limited to measurements of macroscopic properties correlated with the observed microstructure.  Here, we use individually assembled multilayer films with specific layer thicknesses to act as a model system mimicking the local morphology of such nanostructured blends.  A fluorescence technique </w:t>
      </w:r>
      <w:r w:rsidR="003E7C5D">
        <w:t xml:space="preserve">is used to </w:t>
      </w:r>
      <w:r>
        <w:t>directly measure the local glass transition temperature (</w:t>
      </w:r>
      <w:r w:rsidR="003E7C5D" w:rsidRPr="00B14A7F">
        <w:rPr>
          <w:i/>
        </w:rPr>
        <w:t>T</w:t>
      </w:r>
      <w:r w:rsidR="003E7C5D" w:rsidRPr="00B14A7F">
        <w:rPr>
          <w:vertAlign w:val="subscript"/>
        </w:rPr>
        <w:t>g</w:t>
      </w:r>
      <w:r>
        <w:t>) profile</w:t>
      </w:r>
      <w:r w:rsidR="003E7C5D">
        <w:t xml:space="preserve"> as a function of distance from a glassy-rubbery polymer-polymer interface.   </w:t>
      </w:r>
    </w:p>
    <w:p w14:paraId="0915EAFA" w14:textId="77777777" w:rsidR="003E7C5D" w:rsidRDefault="003E7C5D" w:rsidP="00A7250E">
      <w:pPr>
        <w:widowControl w:val="0"/>
      </w:pPr>
    </w:p>
    <w:p w14:paraId="4C76D7DC" w14:textId="4DBFC4AD" w:rsidR="00FE420D" w:rsidRDefault="003E7C5D" w:rsidP="00A7250E">
      <w:pPr>
        <w:widowControl w:val="0"/>
      </w:pPr>
      <w:r>
        <w:tab/>
        <w:t>We focus on a polystyrene (PS) / poly(</w:t>
      </w:r>
      <w:r w:rsidRPr="005E46E2">
        <w:rPr>
          <w:i/>
        </w:rPr>
        <w:t>n</w:t>
      </w:r>
      <w:r>
        <w:t>-butyl methacrylate) (PnBMA) weakly immiscible system with</w:t>
      </w:r>
      <w:r w:rsidR="00A7250E">
        <w:t xml:space="preserve"> a</w:t>
      </w:r>
      <w:r>
        <w:t xml:space="preserve"> 7 nm interfacial width [1]</w:t>
      </w:r>
      <w:r w:rsidR="005E46E2">
        <w:t xml:space="preserve"> that creates a</w:t>
      </w:r>
      <w:r w:rsidR="00F20F6D">
        <w:t xml:space="preserve">n 80 K </w:t>
      </w:r>
      <w:r w:rsidR="00F20F6D" w:rsidRPr="00B14A7F">
        <w:rPr>
          <w:i/>
        </w:rPr>
        <w:t>T</w:t>
      </w:r>
      <w:r w:rsidR="00F20F6D" w:rsidRPr="00B14A7F">
        <w:rPr>
          <w:vertAlign w:val="subscript"/>
        </w:rPr>
        <w:t>g</w:t>
      </w:r>
      <w:r w:rsidR="00F20F6D">
        <w:t xml:space="preserve"> difference across the interface from one bulk </w:t>
      </w:r>
      <w:r w:rsidR="00F20F6D" w:rsidRPr="00B14A7F">
        <w:rPr>
          <w:i/>
        </w:rPr>
        <w:t>T</w:t>
      </w:r>
      <w:r w:rsidR="00F20F6D" w:rsidRPr="00B14A7F">
        <w:rPr>
          <w:vertAlign w:val="subscript"/>
        </w:rPr>
        <w:t>g</w:t>
      </w:r>
      <w:r w:rsidR="00F20F6D">
        <w:t xml:space="preserve"> value to another.  </w:t>
      </w:r>
      <w:r w:rsidR="00064CA4">
        <w:t>Multilayer films of high molecular weight PS and PnBMA are constructed where an ultrathin (10-15 nm thick) pyrene-labeled layer is inserted into the multilayer structure at different positions (</w:t>
      </w:r>
      <w:r w:rsidR="00064CA4" w:rsidRPr="00064CA4">
        <w:rPr>
          <w:i/>
        </w:rPr>
        <w:t>z</w:t>
      </w:r>
      <w:r w:rsidR="00064CA4">
        <w:t xml:space="preserve">) from the glassy-rubbery interface.  </w:t>
      </w:r>
      <w:r>
        <w:t xml:space="preserve">Temperature-dependent fluorescence intensity is collected to determine the local </w:t>
      </w:r>
      <w:r w:rsidR="00064CA4" w:rsidRPr="00B14A7F">
        <w:rPr>
          <w:i/>
        </w:rPr>
        <w:t>T</w:t>
      </w:r>
      <w:r w:rsidR="00064CA4" w:rsidRPr="00B14A7F">
        <w:rPr>
          <w:vertAlign w:val="subscript"/>
        </w:rPr>
        <w:t>g</w:t>
      </w:r>
      <w:r>
        <w:t>(</w:t>
      </w:r>
      <w:r w:rsidRPr="00064CA4">
        <w:rPr>
          <w:i/>
        </w:rPr>
        <w:t>z</w:t>
      </w:r>
      <w:r>
        <w:t xml:space="preserve">) at a given position z from the interface. </w:t>
      </w:r>
      <w:r w:rsidR="002E47E9">
        <w:t xml:space="preserve"> </w:t>
      </w:r>
      <w:r>
        <w:t xml:space="preserve">Using a series of different samples, we are able to map the </w:t>
      </w:r>
      <w:r w:rsidR="002E47E9" w:rsidRPr="00B14A7F">
        <w:rPr>
          <w:i/>
        </w:rPr>
        <w:t>T</w:t>
      </w:r>
      <w:r w:rsidR="002E47E9" w:rsidRPr="00B14A7F">
        <w:rPr>
          <w:vertAlign w:val="subscript"/>
        </w:rPr>
        <w:t>g</w:t>
      </w:r>
      <w:r>
        <w:t>(</w:t>
      </w:r>
      <w:r w:rsidRPr="002E47E9">
        <w:rPr>
          <w:i/>
        </w:rPr>
        <w:t>z</w:t>
      </w:r>
      <w:r>
        <w:t xml:space="preserve">) profile across this glassy-rubbery interface. </w:t>
      </w:r>
      <w:r w:rsidR="002E47E9">
        <w:t xml:space="preserve"> </w:t>
      </w:r>
      <w:r>
        <w:t xml:space="preserve">Our work reveals </w:t>
      </w:r>
      <w:r w:rsidR="00E77C10">
        <w:t xml:space="preserve">a gradient in the local </w:t>
      </w:r>
      <w:r w:rsidR="00E77C10" w:rsidRPr="00B14A7F">
        <w:rPr>
          <w:i/>
        </w:rPr>
        <w:t>T</w:t>
      </w:r>
      <w:r w:rsidR="00E77C10" w:rsidRPr="00B14A7F">
        <w:rPr>
          <w:vertAlign w:val="subscript"/>
        </w:rPr>
        <w:t>g</w:t>
      </w:r>
      <w:r w:rsidR="00E77C10">
        <w:t>(</w:t>
      </w:r>
      <w:r w:rsidR="00E77C10" w:rsidRPr="00E77C10">
        <w:rPr>
          <w:i/>
        </w:rPr>
        <w:t>z</w:t>
      </w:r>
      <w:r w:rsidR="00E77C10">
        <w:t xml:space="preserve">) that spans ~400 nm across the interface from one bulk </w:t>
      </w:r>
      <w:r w:rsidR="00E77C10" w:rsidRPr="00B14A7F">
        <w:rPr>
          <w:i/>
        </w:rPr>
        <w:t>T</w:t>
      </w:r>
      <w:r w:rsidR="00E77C10" w:rsidRPr="00B14A7F">
        <w:rPr>
          <w:vertAlign w:val="subscript"/>
        </w:rPr>
        <w:t>g</w:t>
      </w:r>
      <w:r w:rsidR="00E77C10">
        <w:t xml:space="preserve"> value (</w:t>
      </w:r>
      <w:r w:rsidR="00E77C10" w:rsidRPr="00B14A7F">
        <w:rPr>
          <w:i/>
        </w:rPr>
        <w:t>T</w:t>
      </w:r>
      <w:r w:rsidR="00E77C10" w:rsidRPr="00B14A7F">
        <w:rPr>
          <w:vertAlign w:val="subscript"/>
        </w:rPr>
        <w:t>g</w:t>
      </w:r>
      <w:r w:rsidR="00E77C10" w:rsidRPr="00E77C10">
        <w:rPr>
          <w:vertAlign w:val="superscript"/>
        </w:rPr>
        <w:t>PnBMA</w:t>
      </w:r>
      <w:r w:rsidR="00E77C10">
        <w:t xml:space="preserve"> = 20 </w:t>
      </w:r>
      <w:r w:rsidR="00E77C10" w:rsidRPr="00DB4BD8">
        <w:rPr>
          <w:vertAlign w:val="superscript"/>
        </w:rPr>
        <w:t>o</w:t>
      </w:r>
      <w:r w:rsidR="00E77C10">
        <w:t>C) to another (</w:t>
      </w:r>
      <w:r w:rsidR="00E77C10" w:rsidRPr="00B14A7F">
        <w:rPr>
          <w:i/>
        </w:rPr>
        <w:t>T</w:t>
      </w:r>
      <w:r w:rsidR="00E77C10" w:rsidRPr="00B14A7F">
        <w:rPr>
          <w:vertAlign w:val="subscript"/>
        </w:rPr>
        <w:t>g</w:t>
      </w:r>
      <w:r w:rsidR="00E77C10" w:rsidRPr="00E77C10">
        <w:rPr>
          <w:vertAlign w:val="superscript"/>
        </w:rPr>
        <w:t>PS</w:t>
      </w:r>
      <w:r w:rsidR="00E77C10">
        <w:t xml:space="preserve"> = 100 </w:t>
      </w:r>
      <w:r w:rsidR="00E77C10" w:rsidRPr="00DB4BD8">
        <w:rPr>
          <w:vertAlign w:val="superscript"/>
        </w:rPr>
        <w:t>o</w:t>
      </w:r>
      <w:r w:rsidR="00E77C10">
        <w:t xml:space="preserve">C).  </w:t>
      </w:r>
      <w:r w:rsidR="000B63CD">
        <w:t>The results demonstrate</w:t>
      </w:r>
      <w:r w:rsidR="001A5CB0">
        <w:t xml:space="preserve"> that </w:t>
      </w:r>
      <w:r w:rsidR="000117BD">
        <w:t>local properties can be highly coupled across polymer-polymer domains</w:t>
      </w:r>
      <w:r w:rsidR="000F0C5C">
        <w:t xml:space="preserve"> within nanostructured blends, easily spanning entire domain sizes.  </w:t>
      </w:r>
      <w:r w:rsidR="00FE420D">
        <w:t>This is in contrast to how the glass transition of polymer blends are traditionally treated, assumed to depend only on the local composition within a few nanometers [</w:t>
      </w:r>
      <w:r w:rsidR="00436EC9">
        <w:t>2</w:t>
      </w:r>
      <w:r w:rsidR="00FE420D">
        <w:t xml:space="preserve">], such that neighboring domains, even in nanostructured polymer blends, are </w:t>
      </w:r>
      <w:r w:rsidR="006E007D">
        <w:t>presumed</w:t>
      </w:r>
      <w:r w:rsidR="00FE420D">
        <w:t xml:space="preserve"> to have independent </w:t>
      </w:r>
      <w:r w:rsidR="00FE420D" w:rsidRPr="00B14A7F">
        <w:rPr>
          <w:i/>
        </w:rPr>
        <w:t>T</w:t>
      </w:r>
      <w:r w:rsidR="00FE420D" w:rsidRPr="00B14A7F">
        <w:rPr>
          <w:vertAlign w:val="subscript"/>
        </w:rPr>
        <w:t>g</w:t>
      </w:r>
      <w:r w:rsidR="00FE420D">
        <w:t xml:space="preserve">s.  </w:t>
      </w:r>
    </w:p>
    <w:p w14:paraId="705CF423" w14:textId="77777777" w:rsidR="00E77C10" w:rsidRDefault="00E77C10" w:rsidP="00A7250E">
      <w:pPr>
        <w:widowControl w:val="0"/>
      </w:pPr>
    </w:p>
    <w:p w14:paraId="03AF2330" w14:textId="4AEA1B53" w:rsidR="00803E93" w:rsidRDefault="00FB529F" w:rsidP="00A7250E">
      <w:pPr>
        <w:widowControl w:val="0"/>
      </w:pPr>
      <w:r>
        <w:tab/>
      </w:r>
      <w:r w:rsidR="00996611">
        <w:t xml:space="preserve">Surprisingly we find that the local </w:t>
      </w:r>
      <w:r w:rsidR="00996611" w:rsidRPr="00B14A7F">
        <w:rPr>
          <w:i/>
        </w:rPr>
        <w:t>T</w:t>
      </w:r>
      <w:r w:rsidR="00996611" w:rsidRPr="00B14A7F">
        <w:rPr>
          <w:vertAlign w:val="subscript"/>
        </w:rPr>
        <w:t>g</w:t>
      </w:r>
      <w:r w:rsidR="00996611">
        <w:t>(</w:t>
      </w:r>
      <w:r w:rsidR="00996611" w:rsidRPr="00A7250E">
        <w:rPr>
          <w:i/>
        </w:rPr>
        <w:t>z</w:t>
      </w:r>
      <w:r w:rsidR="00996611">
        <w:t>) gradient</w:t>
      </w:r>
      <w:r w:rsidR="00C57E53">
        <w:t xml:space="preserve"> across the glassy-rubbery PS/PnBMA interface</w:t>
      </w:r>
      <w:r w:rsidR="00996611">
        <w:t xml:space="preserve"> is highly asymmetric, extending</w:t>
      </w:r>
      <w:r w:rsidR="007D1B50">
        <w:t xml:space="preserve"> much</w:t>
      </w:r>
      <w:r w:rsidR="00996611">
        <w:t xml:space="preserve"> further int</w:t>
      </w:r>
      <w:r w:rsidR="007D1B50">
        <w:t xml:space="preserve">o the glass PS side.  This observation is consistent with recent theoretical predictions </w:t>
      </w:r>
      <w:r w:rsidR="00C57E53">
        <w:t>from</w:t>
      </w:r>
      <w:r w:rsidR="007D1B50">
        <w:t xml:space="preserve"> a limited mobility model for glassy dynamics</w:t>
      </w:r>
      <w:r w:rsidR="00A7250E">
        <w:t xml:space="preserve"> in confined systems</w:t>
      </w:r>
      <w:r w:rsidR="007D1B50">
        <w:t xml:space="preserve"> [</w:t>
      </w:r>
      <w:r w:rsidR="00436EC9">
        <w:t>3</w:t>
      </w:r>
      <w:r w:rsidR="007D1B50">
        <w:t xml:space="preserve">].  </w:t>
      </w:r>
      <w:r w:rsidR="00377FB0">
        <w:t xml:space="preserve">For decades </w:t>
      </w:r>
      <w:r w:rsidR="00266928" w:rsidRPr="00B14A7F">
        <w:rPr>
          <w:i/>
        </w:rPr>
        <w:t>T</w:t>
      </w:r>
      <w:r w:rsidR="00266928" w:rsidRPr="00B14A7F">
        <w:rPr>
          <w:vertAlign w:val="subscript"/>
        </w:rPr>
        <w:t>g</w:t>
      </w:r>
      <w:r w:rsidR="00266928">
        <w:t xml:space="preserve"> </w:t>
      </w:r>
      <w:r w:rsidR="00377FB0">
        <w:t xml:space="preserve">in confined systems has been studied with the hopes of uncovering the length scales that impact the glass transition.  In </w:t>
      </w:r>
      <w:r w:rsidR="005D67CF">
        <w:t xml:space="preserve">ultrathin </w:t>
      </w:r>
      <w:r w:rsidR="00377FB0">
        <w:t xml:space="preserve">confined </w:t>
      </w:r>
      <w:r w:rsidR="005D67CF">
        <w:t>films</w:t>
      </w:r>
      <w:r w:rsidR="00377FB0">
        <w:t>, free surface and substrate perturbations induce gradients in</w:t>
      </w:r>
      <w:r w:rsidR="005D67CF">
        <w:t xml:space="preserve"> local</w:t>
      </w:r>
      <w:r w:rsidR="00377FB0">
        <w:t xml:space="preserve"> </w:t>
      </w:r>
      <w:r w:rsidR="005D67CF" w:rsidRPr="00B14A7F">
        <w:rPr>
          <w:i/>
        </w:rPr>
        <w:t>T</w:t>
      </w:r>
      <w:r w:rsidR="005D67CF" w:rsidRPr="00B14A7F">
        <w:rPr>
          <w:vertAlign w:val="subscript"/>
        </w:rPr>
        <w:t>g</w:t>
      </w:r>
      <w:r w:rsidR="005D67CF">
        <w:t xml:space="preserve"> </w:t>
      </w:r>
      <w:r w:rsidR="00377FB0">
        <w:t>spanning several tens of nanometers indicating that cooperative dynamics are coupled in some fashion across multiple cooperatively rearranging regions (CRRs)</w:t>
      </w:r>
      <w:r w:rsidR="005D67CF">
        <w:t xml:space="preserve"> [</w:t>
      </w:r>
      <w:r w:rsidR="002E33B4">
        <w:t>4,5</w:t>
      </w:r>
      <w:bookmarkStart w:id="0" w:name="_GoBack"/>
      <w:bookmarkEnd w:id="0"/>
      <w:r w:rsidR="005D67CF">
        <w:t>]</w:t>
      </w:r>
      <w:r w:rsidR="00377FB0">
        <w:t>.</w:t>
      </w:r>
      <w:r w:rsidR="00480367">
        <w:t xml:space="preserve">  </w:t>
      </w:r>
      <w:r w:rsidR="00377FB0">
        <w:t>However, understanding length scales of</w:t>
      </w:r>
      <w:r w:rsidR="005D67CF">
        <w:t xml:space="preserve"> local</w:t>
      </w:r>
      <w:r w:rsidR="00377FB0">
        <w:t xml:space="preserve"> </w:t>
      </w:r>
      <w:r w:rsidR="005D67CF" w:rsidRPr="00B14A7F">
        <w:rPr>
          <w:i/>
        </w:rPr>
        <w:t>T</w:t>
      </w:r>
      <w:r w:rsidR="005D67CF" w:rsidRPr="00B14A7F">
        <w:rPr>
          <w:vertAlign w:val="subscript"/>
        </w:rPr>
        <w:t>g</w:t>
      </w:r>
      <w:r w:rsidR="005D67CF">
        <w:t xml:space="preserve"> </w:t>
      </w:r>
      <w:r w:rsidR="00377FB0">
        <w:t xml:space="preserve">gradients near a free surface has been hampered by limitations of how to treat the enhanced </w:t>
      </w:r>
      <w:r w:rsidR="00377FB0">
        <w:lastRenderedPageBreak/>
        <w:t xml:space="preserve">mobility at </w:t>
      </w:r>
      <w:r w:rsidR="002D6EE9">
        <w:t>the free surface theoretically.  In our study</w:t>
      </w:r>
      <w:r w:rsidR="00377FB0">
        <w:t>, a glassy-rubbery polymer-polymer interface</w:t>
      </w:r>
      <w:r w:rsidR="002D6EE9">
        <w:t xml:space="preserve"> is used</w:t>
      </w:r>
      <w:r w:rsidR="00377FB0">
        <w:t xml:space="preserve"> to establish an 80 K</w:t>
      </w:r>
      <w:r w:rsidR="00107175">
        <w:t xml:space="preserve"> local</w:t>
      </w:r>
      <w:r w:rsidR="00377FB0">
        <w:t xml:space="preserve"> </w:t>
      </w:r>
      <w:r w:rsidR="00107175" w:rsidRPr="00B14A7F">
        <w:rPr>
          <w:i/>
        </w:rPr>
        <w:t>T</w:t>
      </w:r>
      <w:r w:rsidR="00107175" w:rsidRPr="00B14A7F">
        <w:rPr>
          <w:vertAlign w:val="subscript"/>
        </w:rPr>
        <w:t>g</w:t>
      </w:r>
      <w:r w:rsidR="00107175">
        <w:t xml:space="preserve"> </w:t>
      </w:r>
      <w:r w:rsidR="00377FB0">
        <w:t xml:space="preserve">gradient from one well-defined </w:t>
      </w:r>
      <w:r w:rsidR="00107175" w:rsidRPr="00B14A7F">
        <w:rPr>
          <w:i/>
        </w:rPr>
        <w:t>T</w:t>
      </w:r>
      <w:r w:rsidR="00107175" w:rsidRPr="00B14A7F">
        <w:rPr>
          <w:vertAlign w:val="subscript"/>
        </w:rPr>
        <w:t>g</w:t>
      </w:r>
      <w:r w:rsidR="00107175">
        <w:t xml:space="preserve"> </w:t>
      </w:r>
      <w:r w:rsidR="00377FB0">
        <w:t>value to another</w:t>
      </w:r>
      <w:r w:rsidR="003C65FB">
        <w:t xml:space="preserve">, thereby introducing a well-defined system with </w:t>
      </w:r>
      <w:r w:rsidR="003C65FB" w:rsidRPr="00B14A7F">
        <w:rPr>
          <w:i/>
        </w:rPr>
        <w:t>T</w:t>
      </w:r>
      <w:r w:rsidR="003C65FB" w:rsidRPr="00B14A7F">
        <w:rPr>
          <w:vertAlign w:val="subscript"/>
        </w:rPr>
        <w:t>g</w:t>
      </w:r>
      <w:r w:rsidR="006D51C2">
        <w:t xml:space="preserve"> </w:t>
      </w:r>
      <w:r w:rsidR="003C65FB">
        <w:t>asymptotics on both</w:t>
      </w:r>
      <w:r w:rsidR="00480367">
        <w:t xml:space="preserve"> sides of the glassy and rubbery </w:t>
      </w:r>
      <w:r w:rsidR="003C65FB">
        <w:t>polymer-polymer interface.</w:t>
      </w:r>
      <w:r w:rsidR="005A5B5D">
        <w:t xml:space="preserve">  </w:t>
      </w:r>
    </w:p>
    <w:p w14:paraId="57958B0F" w14:textId="77777777" w:rsidR="00377FB0" w:rsidRDefault="00377FB0" w:rsidP="00A7250E">
      <w:pPr>
        <w:widowControl w:val="0"/>
      </w:pPr>
    </w:p>
    <w:p w14:paraId="1F04A614" w14:textId="387719CE" w:rsidR="00AE074C" w:rsidRDefault="00A5189E" w:rsidP="00A7250E">
      <w:pPr>
        <w:widowControl w:val="0"/>
      </w:pPr>
      <w:r>
        <w:t>[1]</w:t>
      </w:r>
      <w:r w:rsidR="00F5406C">
        <w:t xml:space="preserve"> </w:t>
      </w:r>
      <w:r>
        <w:t xml:space="preserve"> </w:t>
      </w:r>
      <w:r w:rsidR="00F5406C" w:rsidRPr="00F5406C">
        <w:t xml:space="preserve">Rauscher, P. M.; Pye, J. E.; Baglay, R. R.; Roth, C. B. </w:t>
      </w:r>
      <w:r w:rsidR="00F5406C" w:rsidRPr="00F5406C">
        <w:rPr>
          <w:i/>
          <w:iCs/>
        </w:rPr>
        <w:t>Macromolecules</w:t>
      </w:r>
      <w:r w:rsidR="00F5406C" w:rsidRPr="00F5406C">
        <w:t xml:space="preserve"> </w:t>
      </w:r>
      <w:r w:rsidR="00F5406C" w:rsidRPr="00F5406C">
        <w:rPr>
          <w:b/>
          <w:bCs/>
        </w:rPr>
        <w:t>2013</w:t>
      </w:r>
      <w:r w:rsidR="00F5406C" w:rsidRPr="00F5406C">
        <w:t xml:space="preserve">, </w:t>
      </w:r>
      <w:r w:rsidR="00F5406C" w:rsidRPr="00F5406C">
        <w:rPr>
          <w:i/>
          <w:iCs/>
        </w:rPr>
        <w:t>46</w:t>
      </w:r>
      <w:r w:rsidR="00F5406C" w:rsidRPr="00F5406C">
        <w:t>, 9806–9817.</w:t>
      </w:r>
    </w:p>
    <w:p w14:paraId="3C283A06" w14:textId="263E29F2" w:rsidR="00A5189E" w:rsidRDefault="00A5189E" w:rsidP="00A7250E">
      <w:pPr>
        <w:widowControl w:val="0"/>
      </w:pPr>
      <w:r>
        <w:t xml:space="preserve">[2]  </w:t>
      </w:r>
      <w:r w:rsidR="00FC6085" w:rsidRPr="00FC6085">
        <w:t xml:space="preserve">Lodge, T. P.; McLeish, T. C. B. </w:t>
      </w:r>
      <w:r w:rsidR="00FC6085" w:rsidRPr="00FC6085">
        <w:rPr>
          <w:i/>
          <w:iCs/>
        </w:rPr>
        <w:t>Macromolecules</w:t>
      </w:r>
      <w:r w:rsidR="00FC6085" w:rsidRPr="00FC6085">
        <w:t xml:space="preserve"> </w:t>
      </w:r>
      <w:r w:rsidR="00FC6085" w:rsidRPr="00FC6085">
        <w:rPr>
          <w:b/>
          <w:bCs/>
        </w:rPr>
        <w:t>2000</w:t>
      </w:r>
      <w:r w:rsidR="00FC6085" w:rsidRPr="00FC6085">
        <w:t xml:space="preserve">, </w:t>
      </w:r>
      <w:r w:rsidR="00FC6085" w:rsidRPr="00FC6085">
        <w:rPr>
          <w:i/>
          <w:iCs/>
        </w:rPr>
        <w:t>33</w:t>
      </w:r>
      <w:r w:rsidR="00FC6085" w:rsidRPr="00FC6085">
        <w:t>, 5278–5284.</w:t>
      </w:r>
    </w:p>
    <w:p w14:paraId="4396278A" w14:textId="675E5F45" w:rsidR="00A5189E" w:rsidRDefault="00A5189E" w:rsidP="00A7250E">
      <w:pPr>
        <w:widowControl w:val="0"/>
      </w:pPr>
      <w:r>
        <w:t xml:space="preserve">[3] </w:t>
      </w:r>
      <w:r w:rsidR="006875EE">
        <w:t xml:space="preserve"> </w:t>
      </w:r>
      <w:r w:rsidR="006875EE" w:rsidRPr="006875EE">
        <w:t xml:space="preserve">Tito, N. B.; Lipson, J. E. G.; Milner, S. T. </w:t>
      </w:r>
      <w:r w:rsidR="006875EE" w:rsidRPr="006875EE">
        <w:rPr>
          <w:i/>
          <w:iCs/>
        </w:rPr>
        <w:t>Soft Matter</w:t>
      </w:r>
      <w:r w:rsidR="006875EE" w:rsidRPr="006875EE">
        <w:t xml:space="preserve"> </w:t>
      </w:r>
      <w:r w:rsidR="006875EE" w:rsidRPr="006875EE">
        <w:rPr>
          <w:b/>
          <w:bCs/>
        </w:rPr>
        <w:t>2013</w:t>
      </w:r>
      <w:r w:rsidR="006875EE" w:rsidRPr="006875EE">
        <w:t xml:space="preserve">, </w:t>
      </w:r>
      <w:r w:rsidR="006875EE" w:rsidRPr="006875EE">
        <w:rPr>
          <w:i/>
          <w:iCs/>
        </w:rPr>
        <w:t>9</w:t>
      </w:r>
      <w:r w:rsidR="006875EE" w:rsidRPr="006875EE">
        <w:t>, 9403–9413.</w:t>
      </w:r>
    </w:p>
    <w:p w14:paraId="7CDCE527" w14:textId="0FD77861" w:rsidR="00A5189E" w:rsidRDefault="00A5189E" w:rsidP="00A7250E">
      <w:pPr>
        <w:widowControl w:val="0"/>
      </w:pPr>
      <w:r>
        <w:t xml:space="preserve">[4]  </w:t>
      </w:r>
      <w:r w:rsidR="00DE586F" w:rsidRPr="00DE586F">
        <w:t xml:space="preserve">Ellison, C. J.; Torkelson, J. M. </w:t>
      </w:r>
      <w:r w:rsidR="00DE586F" w:rsidRPr="00DE586F">
        <w:rPr>
          <w:i/>
          <w:iCs/>
        </w:rPr>
        <w:t>Nature Materials</w:t>
      </w:r>
      <w:r w:rsidR="00DE586F" w:rsidRPr="00DE586F">
        <w:t xml:space="preserve"> </w:t>
      </w:r>
      <w:r w:rsidR="00DE586F" w:rsidRPr="00DE586F">
        <w:rPr>
          <w:b/>
          <w:bCs/>
        </w:rPr>
        <w:t>2003</w:t>
      </w:r>
      <w:r w:rsidR="00DE586F" w:rsidRPr="00DE586F">
        <w:t xml:space="preserve">, </w:t>
      </w:r>
      <w:r w:rsidR="00DE586F" w:rsidRPr="00DE586F">
        <w:rPr>
          <w:i/>
          <w:iCs/>
        </w:rPr>
        <w:t>2</w:t>
      </w:r>
      <w:r w:rsidR="00DE586F" w:rsidRPr="00DE586F">
        <w:t>, 695–700.</w:t>
      </w:r>
    </w:p>
    <w:p w14:paraId="6DFF1291" w14:textId="05C24487" w:rsidR="00A5189E" w:rsidRDefault="00A5189E" w:rsidP="00A7250E">
      <w:pPr>
        <w:widowControl w:val="0"/>
      </w:pPr>
      <w:r>
        <w:t xml:space="preserve">[5] </w:t>
      </w:r>
      <w:r w:rsidR="006875EE">
        <w:t xml:space="preserve"> </w:t>
      </w:r>
      <w:r w:rsidR="00D7208C" w:rsidRPr="00D7208C">
        <w:t xml:space="preserve">Pye, J. E.; Rohald, K. A.; Baker, E. A.; Roth, C. B. </w:t>
      </w:r>
      <w:r w:rsidR="00D7208C" w:rsidRPr="00D7208C">
        <w:rPr>
          <w:i/>
          <w:iCs/>
        </w:rPr>
        <w:t>Macromolecules</w:t>
      </w:r>
      <w:r w:rsidR="00D7208C" w:rsidRPr="00D7208C">
        <w:t xml:space="preserve"> </w:t>
      </w:r>
      <w:r w:rsidR="00D7208C" w:rsidRPr="00D7208C">
        <w:rPr>
          <w:b/>
          <w:bCs/>
        </w:rPr>
        <w:t>2010</w:t>
      </w:r>
      <w:r w:rsidR="00D7208C" w:rsidRPr="00D7208C">
        <w:t xml:space="preserve">, </w:t>
      </w:r>
      <w:r w:rsidR="00D7208C" w:rsidRPr="00D7208C">
        <w:rPr>
          <w:i/>
          <w:iCs/>
        </w:rPr>
        <w:t>43</w:t>
      </w:r>
      <w:r w:rsidR="00D7208C" w:rsidRPr="00D7208C">
        <w:t>, 8296–8303.</w:t>
      </w:r>
    </w:p>
    <w:p w14:paraId="0D40B79F" w14:textId="77777777" w:rsidR="00934FA7" w:rsidRDefault="00934FA7" w:rsidP="00A7250E">
      <w:pPr>
        <w:widowControl w:val="0"/>
      </w:pPr>
    </w:p>
    <w:p w14:paraId="06D103E4" w14:textId="77777777" w:rsidR="00934FA7" w:rsidRDefault="00934FA7" w:rsidP="00A7250E">
      <w:pPr>
        <w:widowControl w:val="0"/>
      </w:pPr>
    </w:p>
    <w:sectPr w:rsidR="00934FA7" w:rsidSect="006316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EF" w:usb1="C0007841" w:usb2="00000009" w:usb3="00000000" w:csb0="000001F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7FB0"/>
    <w:rsid w:val="000117BD"/>
    <w:rsid w:val="00064CA4"/>
    <w:rsid w:val="000B63CD"/>
    <w:rsid w:val="000E207A"/>
    <w:rsid w:val="000F0C5C"/>
    <w:rsid w:val="000F3311"/>
    <w:rsid w:val="00107175"/>
    <w:rsid w:val="001A5CB0"/>
    <w:rsid w:val="002152A8"/>
    <w:rsid w:val="00266928"/>
    <w:rsid w:val="002D6EE9"/>
    <w:rsid w:val="002E33B4"/>
    <w:rsid w:val="002E47E9"/>
    <w:rsid w:val="003264C1"/>
    <w:rsid w:val="003739F9"/>
    <w:rsid w:val="00377FB0"/>
    <w:rsid w:val="003C65FB"/>
    <w:rsid w:val="003E7C5D"/>
    <w:rsid w:val="00436EC9"/>
    <w:rsid w:val="00480367"/>
    <w:rsid w:val="005A5B5D"/>
    <w:rsid w:val="005D67CF"/>
    <w:rsid w:val="005E46E2"/>
    <w:rsid w:val="00631654"/>
    <w:rsid w:val="00686685"/>
    <w:rsid w:val="006875EE"/>
    <w:rsid w:val="006D51C2"/>
    <w:rsid w:val="006E007D"/>
    <w:rsid w:val="007D1B50"/>
    <w:rsid w:val="00803E93"/>
    <w:rsid w:val="00934FA7"/>
    <w:rsid w:val="00996611"/>
    <w:rsid w:val="00A5189E"/>
    <w:rsid w:val="00A7250E"/>
    <w:rsid w:val="00AE074C"/>
    <w:rsid w:val="00AF5E7D"/>
    <w:rsid w:val="00BC53AA"/>
    <w:rsid w:val="00C57E53"/>
    <w:rsid w:val="00D7208C"/>
    <w:rsid w:val="00D76C32"/>
    <w:rsid w:val="00DE586F"/>
    <w:rsid w:val="00E77C10"/>
    <w:rsid w:val="00F20F6D"/>
    <w:rsid w:val="00F5406C"/>
    <w:rsid w:val="00FB529F"/>
    <w:rsid w:val="00FC6085"/>
    <w:rsid w:val="00FE42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8B0DCD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2</Pages>
  <Words>614</Words>
  <Characters>3504</Characters>
  <Application>Microsoft Macintosh Word</Application>
  <DocSecurity>0</DocSecurity>
  <Lines>29</Lines>
  <Paragraphs>8</Paragraphs>
  <ScaleCrop>false</ScaleCrop>
  <Company>Emory University</Company>
  <LinksUpToDate>false</LinksUpToDate>
  <CharactersWithSpaces>4110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Connie Roth</dc:creator>
  <cp:keywords/>
  <dc:description/>
  <cp:lastModifiedBy>Connie Roth</cp:lastModifiedBy>
  <cp:revision>42</cp:revision>
  <dcterms:created xsi:type="dcterms:W3CDTF">2014-05-13T00:43:00Z</dcterms:created>
  <dcterms:modified xsi:type="dcterms:W3CDTF">2014-05-13T01:16:00Z</dcterms:modified>
</cp:coreProperties>
</file>