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45DB7" w14:textId="081E75BA" w:rsidR="00F75F33" w:rsidRPr="005D277C" w:rsidRDefault="00F75F33" w:rsidP="00F75F33">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Engineering </w:t>
      </w:r>
      <w:r w:rsidR="004A6A02">
        <w:rPr>
          <w:rFonts w:ascii="Times New Roman" w:hAnsi="Times New Roman" w:cs="Times New Roman"/>
          <w:b/>
          <w:sz w:val="24"/>
          <w:szCs w:val="24"/>
        </w:rPr>
        <w:t>Alternative and non-Natural</w:t>
      </w:r>
      <w:r>
        <w:rPr>
          <w:rFonts w:ascii="Times New Roman" w:hAnsi="Times New Roman" w:cs="Times New Roman"/>
          <w:b/>
          <w:sz w:val="24"/>
          <w:szCs w:val="24"/>
        </w:rPr>
        <w:t xml:space="preserve"> Routes to Aromatic Alcohols</w:t>
      </w:r>
    </w:p>
    <w:p w14:paraId="66CC2832" w14:textId="77777777" w:rsidR="00F75F33" w:rsidRDefault="00F75F33" w:rsidP="00F75F33">
      <w:pPr>
        <w:pStyle w:val="NoSpacing"/>
        <w:jc w:val="center"/>
        <w:rPr>
          <w:rFonts w:ascii="Times New Roman" w:hAnsi="Times New Roman" w:cs="Times New Roman"/>
          <w:sz w:val="24"/>
          <w:szCs w:val="24"/>
        </w:rPr>
      </w:pPr>
    </w:p>
    <w:p w14:paraId="412EE39A" w14:textId="5C18BDA1" w:rsidR="00F75F33" w:rsidRDefault="00F75F33" w:rsidP="00F75F33">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Brian Thompson, </w:t>
      </w:r>
      <w:r w:rsidR="00D316C4">
        <w:rPr>
          <w:rFonts w:ascii="Times New Roman" w:hAnsi="Times New Roman" w:cs="Times New Roman"/>
          <w:sz w:val="24"/>
          <w:szCs w:val="24"/>
        </w:rPr>
        <w:t>Shawn Pugh</w:t>
      </w:r>
      <w:r w:rsidR="00D316C4" w:rsidRPr="005D277C">
        <w:rPr>
          <w:rFonts w:ascii="Times New Roman" w:hAnsi="Times New Roman" w:cs="Times New Roman"/>
          <w:sz w:val="24"/>
          <w:szCs w:val="24"/>
        </w:rPr>
        <w:t xml:space="preserve">, </w:t>
      </w:r>
      <w:r>
        <w:rPr>
          <w:rFonts w:ascii="Times New Roman" w:hAnsi="Times New Roman" w:cs="Times New Roman"/>
          <w:sz w:val="24"/>
          <w:szCs w:val="24"/>
        </w:rPr>
        <w:t>Rebekah McKenna</w:t>
      </w:r>
      <w:r w:rsidRPr="005D277C">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5D277C">
        <w:rPr>
          <w:rFonts w:ascii="Times New Roman" w:hAnsi="Times New Roman" w:cs="Times New Roman"/>
          <w:sz w:val="24"/>
          <w:szCs w:val="24"/>
        </w:rPr>
        <w:t>David R. Nielsen</w:t>
      </w:r>
    </w:p>
    <w:p w14:paraId="3EDE51D4" w14:textId="77777777" w:rsidR="00103A42" w:rsidRDefault="00103A42" w:rsidP="00E941B8">
      <w:pPr>
        <w:pStyle w:val="NoSpacing"/>
        <w:jc w:val="both"/>
        <w:rPr>
          <w:rFonts w:ascii="Times New Roman" w:hAnsi="Times New Roman" w:cs="Times New Roman"/>
          <w:sz w:val="24"/>
          <w:szCs w:val="24"/>
        </w:rPr>
      </w:pPr>
    </w:p>
    <w:p w14:paraId="71F60568" w14:textId="1888ADCE" w:rsidR="00103A42" w:rsidRDefault="00103A42" w:rsidP="00E941B8">
      <w:pPr>
        <w:pStyle w:val="NoSpacing"/>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Aromatic alcohols represent a useful class of </w:t>
      </w:r>
      <w:r w:rsidR="00A62920">
        <w:rPr>
          <w:rFonts w:ascii="Times New Roman" w:hAnsi="Times New Roman" w:cs="Times New Roman"/>
          <w:sz w:val="24"/>
          <w:szCs w:val="24"/>
        </w:rPr>
        <w:t xml:space="preserve">target </w:t>
      </w:r>
      <w:r>
        <w:rPr>
          <w:rFonts w:ascii="Times New Roman" w:hAnsi="Times New Roman" w:cs="Times New Roman"/>
          <w:sz w:val="24"/>
          <w:szCs w:val="24"/>
        </w:rPr>
        <w:t>molecule</w:t>
      </w:r>
      <w:r w:rsidR="00A62920">
        <w:rPr>
          <w:rFonts w:ascii="Times New Roman" w:hAnsi="Times New Roman" w:cs="Times New Roman"/>
          <w:sz w:val="24"/>
          <w:szCs w:val="24"/>
        </w:rPr>
        <w:t>s</w:t>
      </w:r>
      <w:r>
        <w:rPr>
          <w:rFonts w:ascii="Times New Roman" w:hAnsi="Times New Roman" w:cs="Times New Roman"/>
          <w:sz w:val="24"/>
          <w:szCs w:val="24"/>
        </w:rPr>
        <w:t xml:space="preserve"> with a diversity of applications including as monomers, b</w:t>
      </w:r>
      <w:r w:rsidR="00EF74BA">
        <w:rPr>
          <w:rFonts w:ascii="Times New Roman" w:hAnsi="Times New Roman" w:cs="Times New Roman"/>
          <w:sz w:val="24"/>
          <w:szCs w:val="24"/>
        </w:rPr>
        <w:t>uilding-block</w:t>
      </w:r>
      <w:r>
        <w:rPr>
          <w:rFonts w:ascii="Times New Roman" w:hAnsi="Times New Roman" w:cs="Times New Roman"/>
          <w:sz w:val="24"/>
          <w:szCs w:val="24"/>
        </w:rPr>
        <w:t xml:space="preserve"> compounds, antioxidants, and flavors and fragrances.  </w:t>
      </w:r>
      <w:r w:rsidR="00A768CF">
        <w:rPr>
          <w:rFonts w:ascii="Times New Roman" w:hAnsi="Times New Roman" w:cs="Times New Roman"/>
          <w:sz w:val="24"/>
          <w:szCs w:val="24"/>
        </w:rPr>
        <w:t xml:space="preserve">Although traditionally derived from petroleum feedstocks and/or directly from plant biomass, recent efforts to engineer microorganisms for their direct biosynthesis from renewable biomass sugars </w:t>
      </w:r>
      <w:r w:rsidR="00A62920">
        <w:rPr>
          <w:rFonts w:ascii="Times New Roman" w:hAnsi="Times New Roman" w:cs="Times New Roman"/>
          <w:sz w:val="24"/>
          <w:szCs w:val="24"/>
        </w:rPr>
        <w:t>show promise for improving</w:t>
      </w:r>
      <w:r w:rsidR="00A768CF">
        <w:rPr>
          <w:rFonts w:ascii="Times New Roman" w:hAnsi="Times New Roman" w:cs="Times New Roman"/>
          <w:sz w:val="24"/>
          <w:szCs w:val="24"/>
        </w:rPr>
        <w:t xml:space="preserve"> the sustainability and </w:t>
      </w:r>
      <w:r w:rsidR="00DE45D0">
        <w:rPr>
          <w:rFonts w:ascii="Times New Roman" w:hAnsi="Times New Roman" w:cs="Times New Roman"/>
          <w:sz w:val="24"/>
          <w:szCs w:val="24"/>
        </w:rPr>
        <w:t xml:space="preserve">tractability of the approach.  </w:t>
      </w:r>
      <w:r w:rsidR="00DE7BB1">
        <w:rPr>
          <w:rFonts w:ascii="Times New Roman" w:hAnsi="Times New Roman" w:cs="Times New Roman"/>
          <w:sz w:val="24"/>
          <w:szCs w:val="24"/>
        </w:rPr>
        <w:t xml:space="preserve">Specific and recent examples include the engineering of </w:t>
      </w:r>
      <w:r w:rsidR="00DE7BB1" w:rsidRPr="00DE7BB1">
        <w:rPr>
          <w:rFonts w:ascii="Times New Roman" w:hAnsi="Times New Roman" w:cs="Times New Roman"/>
          <w:i/>
          <w:sz w:val="24"/>
          <w:szCs w:val="24"/>
        </w:rPr>
        <w:t>Escherichia coli</w:t>
      </w:r>
      <w:r w:rsidR="00DE7BB1">
        <w:rPr>
          <w:rFonts w:ascii="Times New Roman" w:hAnsi="Times New Roman" w:cs="Times New Roman"/>
          <w:sz w:val="24"/>
          <w:szCs w:val="24"/>
        </w:rPr>
        <w:t xml:space="preserve"> to produce phenol, catechol, and 2-phenylethanol directly from glucose.</w:t>
      </w:r>
      <w:r w:rsidR="00A62920">
        <w:rPr>
          <w:rFonts w:ascii="Times New Roman" w:hAnsi="Times New Roman" w:cs="Times New Roman"/>
          <w:sz w:val="24"/>
          <w:szCs w:val="24"/>
        </w:rPr>
        <w:t xml:space="preserve">  Established routes, however, suffer from several inherent limitations.  In the case of phenol, for example, which is derived from endogenous tyrosine via tyrosine phenol lyase (TPL), feedback inhibition and equilibrium limitations at TPL reduce </w:t>
      </w:r>
      <w:r w:rsidR="00805BA8">
        <w:rPr>
          <w:rFonts w:ascii="Times New Roman" w:hAnsi="Times New Roman" w:cs="Times New Roman"/>
          <w:sz w:val="24"/>
          <w:szCs w:val="24"/>
        </w:rPr>
        <w:t xml:space="preserve">its </w:t>
      </w:r>
      <w:r w:rsidR="00EF74BA">
        <w:rPr>
          <w:rFonts w:ascii="Times New Roman" w:hAnsi="Times New Roman" w:cs="Times New Roman"/>
          <w:sz w:val="24"/>
          <w:szCs w:val="24"/>
        </w:rPr>
        <w:t>activity</w:t>
      </w:r>
      <w:r w:rsidR="00805BA8">
        <w:rPr>
          <w:rFonts w:ascii="Times New Roman" w:hAnsi="Times New Roman" w:cs="Times New Roman"/>
          <w:sz w:val="24"/>
          <w:szCs w:val="24"/>
        </w:rPr>
        <w:t xml:space="preserve"> </w:t>
      </w:r>
      <w:r w:rsidR="00EF74BA">
        <w:rPr>
          <w:rFonts w:ascii="Times New Roman" w:hAnsi="Times New Roman" w:cs="Times New Roman"/>
          <w:sz w:val="24"/>
          <w:szCs w:val="24"/>
        </w:rPr>
        <w:t>as well as</w:t>
      </w:r>
      <w:r w:rsidR="00A62920">
        <w:rPr>
          <w:rFonts w:ascii="Times New Roman" w:hAnsi="Times New Roman" w:cs="Times New Roman"/>
          <w:sz w:val="24"/>
          <w:szCs w:val="24"/>
        </w:rPr>
        <w:t xml:space="preserve"> </w:t>
      </w:r>
      <w:r w:rsidR="00805BA8">
        <w:rPr>
          <w:rFonts w:ascii="Times New Roman" w:hAnsi="Times New Roman" w:cs="Times New Roman"/>
          <w:sz w:val="24"/>
          <w:szCs w:val="24"/>
        </w:rPr>
        <w:t xml:space="preserve">flux through </w:t>
      </w:r>
      <w:r w:rsidR="00A62920">
        <w:rPr>
          <w:rFonts w:ascii="Times New Roman" w:hAnsi="Times New Roman" w:cs="Times New Roman"/>
          <w:sz w:val="24"/>
          <w:szCs w:val="24"/>
        </w:rPr>
        <w:t xml:space="preserve">the overall pathway. Conventional approaches for </w:t>
      </w:r>
      <w:r w:rsidR="00805BA8">
        <w:rPr>
          <w:rFonts w:ascii="Times New Roman" w:hAnsi="Times New Roman" w:cs="Times New Roman"/>
          <w:sz w:val="24"/>
          <w:szCs w:val="24"/>
        </w:rPr>
        <w:t xml:space="preserve">the biosynthesis of </w:t>
      </w:r>
      <w:r w:rsidR="00A62920">
        <w:rPr>
          <w:rFonts w:ascii="Times New Roman" w:hAnsi="Times New Roman" w:cs="Times New Roman"/>
          <w:sz w:val="24"/>
          <w:szCs w:val="24"/>
        </w:rPr>
        <w:t xml:space="preserve">catechol </w:t>
      </w:r>
      <w:r w:rsidR="00EF74BA">
        <w:rPr>
          <w:rFonts w:ascii="Times New Roman" w:hAnsi="Times New Roman" w:cs="Times New Roman"/>
          <w:sz w:val="24"/>
          <w:szCs w:val="24"/>
        </w:rPr>
        <w:t xml:space="preserve">(which typically has been </w:t>
      </w:r>
      <w:r w:rsidR="00805BA8">
        <w:rPr>
          <w:rFonts w:ascii="Times New Roman" w:hAnsi="Times New Roman" w:cs="Times New Roman"/>
          <w:sz w:val="24"/>
          <w:szCs w:val="24"/>
        </w:rPr>
        <w:t>derived from 3-dehydroshikimate via a two-step pathway)</w:t>
      </w:r>
      <w:r w:rsidR="00A62920">
        <w:rPr>
          <w:rFonts w:ascii="Times New Roman" w:hAnsi="Times New Roman" w:cs="Times New Roman"/>
          <w:sz w:val="24"/>
          <w:szCs w:val="24"/>
        </w:rPr>
        <w:t xml:space="preserve">, meanwhile, rely upon the creation of multiple </w:t>
      </w:r>
      <w:r w:rsidR="00DB5D38">
        <w:rPr>
          <w:rFonts w:ascii="Times New Roman" w:hAnsi="Times New Roman" w:cs="Times New Roman"/>
          <w:sz w:val="24"/>
          <w:szCs w:val="24"/>
        </w:rPr>
        <w:t>auxotrophies that</w:t>
      </w:r>
      <w:r w:rsidR="00805BA8">
        <w:rPr>
          <w:rFonts w:ascii="Times New Roman" w:hAnsi="Times New Roman" w:cs="Times New Roman"/>
          <w:sz w:val="24"/>
          <w:szCs w:val="24"/>
        </w:rPr>
        <w:t xml:space="preserve"> then necessitate the</w:t>
      </w:r>
      <w:r w:rsidR="00A62920">
        <w:rPr>
          <w:rFonts w:ascii="Times New Roman" w:hAnsi="Times New Roman" w:cs="Times New Roman"/>
          <w:sz w:val="24"/>
          <w:szCs w:val="24"/>
        </w:rPr>
        <w:t xml:space="preserve"> supplementation of several expensive amino acids and vitamins into the culture media.</w:t>
      </w:r>
      <w:r w:rsidR="00DB5D38">
        <w:rPr>
          <w:rFonts w:ascii="Times New Roman" w:hAnsi="Times New Roman" w:cs="Times New Roman"/>
          <w:sz w:val="24"/>
          <w:szCs w:val="24"/>
        </w:rPr>
        <w:t xml:space="preserve">  </w:t>
      </w:r>
      <w:r w:rsidR="005D3372">
        <w:rPr>
          <w:rFonts w:ascii="Times New Roman" w:hAnsi="Times New Roman" w:cs="Times New Roman"/>
          <w:sz w:val="24"/>
          <w:szCs w:val="24"/>
        </w:rPr>
        <w:t xml:space="preserve">To address these and other limitations, alternative and non-natural biosynthetic pathways leading to the same </w:t>
      </w:r>
      <w:r w:rsidR="008356E5">
        <w:rPr>
          <w:rFonts w:ascii="Times New Roman" w:hAnsi="Times New Roman" w:cs="Times New Roman"/>
          <w:sz w:val="24"/>
          <w:szCs w:val="24"/>
        </w:rPr>
        <w:t xml:space="preserve">three </w:t>
      </w:r>
      <w:r w:rsidR="005D3372">
        <w:rPr>
          <w:rFonts w:ascii="Times New Roman" w:hAnsi="Times New Roman" w:cs="Times New Roman"/>
          <w:sz w:val="24"/>
          <w:szCs w:val="24"/>
        </w:rPr>
        <w:t>aromatic alcohol products have been devised and comparatively evaluated.  Said novel routes stem from alternative endogenous precursors and incorporate dissimilar heterologous chemistries to circumvent notable limitations of</w:t>
      </w:r>
      <w:r w:rsidR="00EF74BA">
        <w:rPr>
          <w:rFonts w:ascii="Times New Roman" w:hAnsi="Times New Roman" w:cs="Times New Roman"/>
          <w:sz w:val="24"/>
          <w:szCs w:val="24"/>
        </w:rPr>
        <w:t xml:space="preserve"> each established pathway</w:t>
      </w:r>
      <w:r w:rsidR="005D3372">
        <w:rPr>
          <w:rFonts w:ascii="Times New Roman" w:hAnsi="Times New Roman" w:cs="Times New Roman"/>
          <w:sz w:val="24"/>
          <w:szCs w:val="24"/>
        </w:rPr>
        <w:t>.</w:t>
      </w:r>
      <w:r w:rsidR="00A62920">
        <w:rPr>
          <w:rFonts w:ascii="Times New Roman" w:hAnsi="Times New Roman" w:cs="Times New Roman"/>
          <w:sz w:val="24"/>
          <w:szCs w:val="24"/>
        </w:rPr>
        <w:t xml:space="preserve">   </w:t>
      </w:r>
      <w:r w:rsidR="00EF74BA">
        <w:rPr>
          <w:rFonts w:ascii="Times New Roman" w:hAnsi="Times New Roman" w:cs="Times New Roman"/>
          <w:sz w:val="24"/>
          <w:szCs w:val="24"/>
        </w:rPr>
        <w:t>For</w:t>
      </w:r>
      <w:r w:rsidR="00EF74BA">
        <w:rPr>
          <w:rFonts w:ascii="Times New Roman" w:hAnsi="Times New Roman" w:cs="Times New Roman"/>
          <w:sz w:val="24"/>
          <w:szCs w:val="24"/>
        </w:rPr>
        <w:t xml:space="preserve"> example, </w:t>
      </w:r>
      <w:r w:rsidR="00EF74BA">
        <w:rPr>
          <w:rFonts w:ascii="Times New Roman" w:hAnsi="Times New Roman" w:cs="Times New Roman"/>
          <w:sz w:val="24"/>
          <w:szCs w:val="24"/>
        </w:rPr>
        <w:t>i</w:t>
      </w:r>
      <w:r w:rsidR="006F34D9">
        <w:rPr>
          <w:rFonts w:ascii="Times New Roman" w:hAnsi="Times New Roman" w:cs="Times New Roman"/>
          <w:sz w:val="24"/>
          <w:szCs w:val="24"/>
        </w:rPr>
        <w:t xml:space="preserve">n the case of catechol, the proposed alternative route stems instead from </w:t>
      </w:r>
      <w:r w:rsidR="00EF74BA">
        <w:rPr>
          <w:rFonts w:ascii="Times New Roman" w:hAnsi="Times New Roman" w:cs="Times New Roman"/>
          <w:sz w:val="24"/>
          <w:szCs w:val="24"/>
        </w:rPr>
        <w:t xml:space="preserve">endogenous </w:t>
      </w:r>
      <w:r w:rsidR="006F34D9">
        <w:rPr>
          <w:rFonts w:ascii="Times New Roman" w:hAnsi="Times New Roman" w:cs="Times New Roman"/>
          <w:sz w:val="24"/>
          <w:szCs w:val="24"/>
        </w:rPr>
        <w:t xml:space="preserve">p-hydroxybenzoate and proceeds </w:t>
      </w:r>
      <w:r w:rsidR="00D316C4">
        <w:rPr>
          <w:rFonts w:ascii="Times New Roman" w:hAnsi="Times New Roman" w:cs="Times New Roman"/>
          <w:sz w:val="24"/>
          <w:szCs w:val="24"/>
        </w:rPr>
        <w:t>to catechol in</w:t>
      </w:r>
      <w:r w:rsidR="006F34D9">
        <w:rPr>
          <w:rFonts w:ascii="Times New Roman" w:hAnsi="Times New Roman" w:cs="Times New Roman"/>
          <w:sz w:val="24"/>
          <w:szCs w:val="24"/>
        </w:rPr>
        <w:t xml:space="preserve"> two step</w:t>
      </w:r>
      <w:r w:rsidR="00D316C4">
        <w:rPr>
          <w:rFonts w:ascii="Times New Roman" w:hAnsi="Times New Roman" w:cs="Times New Roman"/>
          <w:sz w:val="24"/>
          <w:szCs w:val="24"/>
        </w:rPr>
        <w:t xml:space="preserve">s via the intermediate protocatechuate.  By this new approach, catechol titers as high as </w:t>
      </w:r>
      <w:r w:rsidR="00D316C4" w:rsidRPr="000F378D">
        <w:rPr>
          <w:rFonts w:ascii="Times New Roman" w:hAnsi="Times New Roman" w:cs="Times New Roman"/>
          <w:sz w:val="24"/>
          <w:szCs w:val="24"/>
        </w:rPr>
        <w:t>63</w:t>
      </w:r>
      <w:r w:rsidR="00D316C4">
        <w:rPr>
          <w:rFonts w:ascii="Times New Roman" w:hAnsi="Times New Roman" w:cs="Times New Roman"/>
          <w:sz w:val="24"/>
          <w:szCs w:val="24"/>
        </w:rPr>
        <w:t>1 ± 37</w:t>
      </w:r>
      <w:r w:rsidR="00D316C4" w:rsidRPr="000F378D">
        <w:rPr>
          <w:rFonts w:ascii="Times New Roman" w:hAnsi="Times New Roman" w:cs="Times New Roman"/>
          <w:sz w:val="24"/>
          <w:szCs w:val="24"/>
        </w:rPr>
        <w:t xml:space="preserve"> mg/L</w:t>
      </w:r>
      <w:r w:rsidR="006F34D9">
        <w:rPr>
          <w:rFonts w:ascii="Times New Roman" w:hAnsi="Times New Roman" w:cs="Times New Roman"/>
          <w:sz w:val="24"/>
          <w:szCs w:val="24"/>
        </w:rPr>
        <w:t xml:space="preserve"> </w:t>
      </w:r>
      <w:r w:rsidR="00D316C4">
        <w:rPr>
          <w:rFonts w:ascii="Times New Roman" w:hAnsi="Times New Roman" w:cs="Times New Roman"/>
          <w:sz w:val="24"/>
          <w:szCs w:val="24"/>
        </w:rPr>
        <w:t xml:space="preserve">have so far been reached with limited adjustment to the composition of the minimal media.   </w:t>
      </w:r>
      <w:r w:rsidR="008356E5">
        <w:rPr>
          <w:rFonts w:ascii="Times New Roman" w:hAnsi="Times New Roman" w:cs="Times New Roman"/>
          <w:sz w:val="24"/>
          <w:szCs w:val="24"/>
        </w:rPr>
        <w:t xml:space="preserve">Phenol bioproduction, meanwhile, is being explored via three distinct putative pathways.  Lastly, as an alternative to the Ehrlich pathway, a novel route to 2-phenylethanol has also been engineered.  To do so, the previously developed styrene pathway was systematically extended to also include key steps involved in styrene biodegradation.  Maximum titers thus far achieved by this alternative route are currently </w:t>
      </w:r>
      <w:r w:rsidR="00B53BD1">
        <w:rPr>
          <w:rFonts w:ascii="Times New Roman" w:hAnsi="Times New Roman" w:cs="Times New Roman"/>
          <w:sz w:val="24"/>
          <w:szCs w:val="24"/>
        </w:rPr>
        <w:t>460 ± 50</w:t>
      </w:r>
      <w:r w:rsidR="00B53BD1" w:rsidRPr="000F378D">
        <w:rPr>
          <w:rFonts w:ascii="Times New Roman" w:hAnsi="Times New Roman" w:cs="Times New Roman"/>
          <w:sz w:val="24"/>
          <w:szCs w:val="24"/>
        </w:rPr>
        <w:t xml:space="preserve"> mg/L</w:t>
      </w:r>
      <w:r w:rsidR="00B53BD1">
        <w:rPr>
          <w:rFonts w:ascii="Times New Roman" w:hAnsi="Times New Roman" w:cs="Times New Roman"/>
          <w:sz w:val="24"/>
          <w:szCs w:val="24"/>
        </w:rPr>
        <w:t xml:space="preserve">.  In this study, </w:t>
      </w:r>
      <w:r w:rsidR="00EF74BA">
        <w:rPr>
          <w:rFonts w:ascii="Times New Roman" w:hAnsi="Times New Roman" w:cs="Times New Roman"/>
          <w:sz w:val="24"/>
          <w:szCs w:val="24"/>
        </w:rPr>
        <w:t>the most recent findings</w:t>
      </w:r>
      <w:r w:rsidR="00B53BD1">
        <w:rPr>
          <w:rFonts w:ascii="Times New Roman" w:hAnsi="Times New Roman" w:cs="Times New Roman"/>
          <w:sz w:val="24"/>
          <w:szCs w:val="24"/>
        </w:rPr>
        <w:t xml:space="preserve"> from the</w:t>
      </w:r>
      <w:r w:rsidR="00EF74BA">
        <w:rPr>
          <w:rFonts w:ascii="Times New Roman" w:hAnsi="Times New Roman" w:cs="Times New Roman"/>
          <w:sz w:val="24"/>
          <w:szCs w:val="24"/>
        </w:rPr>
        <w:t>se</w:t>
      </w:r>
      <w:r w:rsidR="00B53BD1">
        <w:rPr>
          <w:rFonts w:ascii="Times New Roman" w:hAnsi="Times New Roman" w:cs="Times New Roman"/>
          <w:sz w:val="24"/>
          <w:szCs w:val="24"/>
        </w:rPr>
        <w:t xml:space="preserve"> proposed alternative pathway</w:t>
      </w:r>
      <w:r w:rsidR="00EF74BA">
        <w:rPr>
          <w:rFonts w:ascii="Times New Roman" w:hAnsi="Times New Roman" w:cs="Times New Roman"/>
          <w:sz w:val="24"/>
          <w:szCs w:val="24"/>
        </w:rPr>
        <w:t>s</w:t>
      </w:r>
      <w:r w:rsidR="00B53BD1">
        <w:rPr>
          <w:rFonts w:ascii="Times New Roman" w:hAnsi="Times New Roman" w:cs="Times New Roman"/>
          <w:sz w:val="24"/>
          <w:szCs w:val="24"/>
        </w:rPr>
        <w:t xml:space="preserve"> will be compared and contrasted with those of established routes to provide further insight </w:t>
      </w:r>
      <w:r w:rsidR="00EF74BA">
        <w:rPr>
          <w:rFonts w:ascii="Times New Roman" w:hAnsi="Times New Roman" w:cs="Times New Roman"/>
          <w:sz w:val="24"/>
          <w:szCs w:val="24"/>
        </w:rPr>
        <w:t>regarding the best practices for aromatic alcohol biosynthesis.</w:t>
      </w:r>
      <w:bookmarkStart w:id="0" w:name="_GoBack"/>
      <w:bookmarkEnd w:id="0"/>
    </w:p>
    <w:sectPr w:rsidR="00103A42" w:rsidSect="008472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F33"/>
    <w:rsid w:val="00103A42"/>
    <w:rsid w:val="004A6A02"/>
    <w:rsid w:val="005D3372"/>
    <w:rsid w:val="006F34D9"/>
    <w:rsid w:val="00805BA8"/>
    <w:rsid w:val="008356E5"/>
    <w:rsid w:val="00847249"/>
    <w:rsid w:val="00A62920"/>
    <w:rsid w:val="00A768CF"/>
    <w:rsid w:val="00B53BD1"/>
    <w:rsid w:val="00D316C4"/>
    <w:rsid w:val="00DB5D38"/>
    <w:rsid w:val="00DE45D0"/>
    <w:rsid w:val="00DE7BB1"/>
    <w:rsid w:val="00E941B8"/>
    <w:rsid w:val="00EF74BA"/>
    <w:rsid w:val="00F75F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71C9D7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75F33"/>
    <w:pPr>
      <w:spacing w:line="480" w:lineRule="auto"/>
    </w:pPr>
    <w:rPr>
      <w:rFonts w:ascii="Georgia" w:eastAsiaTheme="minorHAnsi" w:hAnsi="Georgia" w:cs="Georgia"/>
      <w:color w:val="262626"/>
      <w:sz w:val="60"/>
      <w:szCs w:val="60"/>
    </w:rPr>
  </w:style>
  <w:style w:type="character" w:customStyle="1" w:styleId="NoSpacingChar">
    <w:name w:val="No Spacing Char"/>
    <w:basedOn w:val="DefaultParagraphFont"/>
    <w:link w:val="NoSpacing"/>
    <w:uiPriority w:val="1"/>
    <w:rsid w:val="00F75F33"/>
    <w:rPr>
      <w:rFonts w:ascii="Georgia" w:eastAsiaTheme="minorHAnsi" w:hAnsi="Georgia" w:cs="Georgia"/>
      <w:color w:val="262626"/>
      <w:sz w:val="60"/>
      <w:szCs w:val="6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75F33"/>
    <w:pPr>
      <w:spacing w:line="480" w:lineRule="auto"/>
    </w:pPr>
    <w:rPr>
      <w:rFonts w:ascii="Georgia" w:eastAsiaTheme="minorHAnsi" w:hAnsi="Georgia" w:cs="Georgia"/>
      <w:color w:val="262626"/>
      <w:sz w:val="60"/>
      <w:szCs w:val="60"/>
    </w:rPr>
  </w:style>
  <w:style w:type="character" w:customStyle="1" w:styleId="NoSpacingChar">
    <w:name w:val="No Spacing Char"/>
    <w:basedOn w:val="DefaultParagraphFont"/>
    <w:link w:val="NoSpacing"/>
    <w:uiPriority w:val="1"/>
    <w:rsid w:val="00F75F33"/>
    <w:rPr>
      <w:rFonts w:ascii="Georgia" w:eastAsiaTheme="minorHAnsi" w:hAnsi="Georgia" w:cs="Georgia"/>
      <w:color w:val="262626"/>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410</Words>
  <Characters>2337</Characters>
  <Application>Microsoft Macintosh Word</Application>
  <DocSecurity>0</DocSecurity>
  <Lines>19</Lines>
  <Paragraphs>5</Paragraphs>
  <ScaleCrop>false</ScaleCrop>
  <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2014-05-13T01:11:00Z</dcterms:created>
  <dcterms:modified xsi:type="dcterms:W3CDTF">2014-05-13T02:00:00Z</dcterms:modified>
</cp:coreProperties>
</file>