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12B" w:rsidRPr="00D901C3" w:rsidRDefault="00032B96" w:rsidP="00032B96">
      <w:pPr>
        <w:pStyle w:val="Heading2"/>
        <w:rPr>
          <w:b w:val="0"/>
          <w:bCs w:val="0"/>
          <w:color w:val="auto"/>
          <w:sz w:val="32"/>
          <w:lang w:val="en-GB"/>
        </w:rPr>
      </w:pPr>
      <w:r>
        <w:rPr>
          <w:b w:val="0"/>
          <w:bCs w:val="0"/>
          <w:color w:val="auto"/>
          <w:sz w:val="32"/>
          <w:lang w:val="en-GB"/>
        </w:rPr>
        <w:t xml:space="preserve">Modeling the Drying Kinetics </w:t>
      </w:r>
      <w:r w:rsidRPr="00D901C3">
        <w:rPr>
          <w:b w:val="0"/>
          <w:bCs w:val="0"/>
          <w:color w:val="auto"/>
          <w:sz w:val="32"/>
          <w:lang w:val="en-GB"/>
        </w:rPr>
        <w:t xml:space="preserve">of </w:t>
      </w:r>
      <w:r>
        <w:rPr>
          <w:b w:val="0"/>
          <w:bCs w:val="0"/>
          <w:color w:val="auto"/>
          <w:sz w:val="32"/>
          <w:lang w:val="en-GB"/>
        </w:rPr>
        <w:t>Carrot</w:t>
      </w:r>
      <w:r w:rsidRPr="00D901C3">
        <w:rPr>
          <w:b w:val="0"/>
          <w:bCs w:val="0"/>
          <w:color w:val="auto"/>
          <w:sz w:val="32"/>
          <w:lang w:val="en-GB"/>
        </w:rPr>
        <w:t xml:space="preserve"> </w:t>
      </w:r>
      <w:r>
        <w:rPr>
          <w:b w:val="0"/>
          <w:bCs w:val="0"/>
          <w:color w:val="auto"/>
          <w:sz w:val="32"/>
          <w:lang w:val="en-GB"/>
        </w:rPr>
        <w:t>P</w:t>
      </w:r>
      <w:r>
        <w:rPr>
          <w:b w:val="0"/>
          <w:bCs w:val="0"/>
          <w:color w:val="auto"/>
          <w:sz w:val="32"/>
          <w:lang w:val="en-GB"/>
        </w:rPr>
        <w:t>articles</w:t>
      </w:r>
      <w:r>
        <w:rPr>
          <w:b w:val="0"/>
          <w:bCs w:val="0"/>
          <w:color w:val="auto"/>
          <w:sz w:val="32"/>
          <w:lang w:val="en-GB"/>
        </w:rPr>
        <w:t xml:space="preserve"> in a Closed C</w:t>
      </w:r>
      <w:r>
        <w:rPr>
          <w:b w:val="0"/>
          <w:bCs w:val="0"/>
          <w:color w:val="auto"/>
          <w:sz w:val="32"/>
          <w:lang w:val="en-GB"/>
        </w:rPr>
        <w:t>hamber</w:t>
      </w:r>
      <w:r>
        <w:rPr>
          <w:b w:val="0"/>
          <w:bCs w:val="0"/>
          <w:color w:val="auto"/>
          <w:sz w:val="32"/>
          <w:lang w:val="en-GB"/>
        </w:rPr>
        <w:t xml:space="preserve"> Following Forced C</w:t>
      </w:r>
      <w:r w:rsidR="00AE212B">
        <w:rPr>
          <w:b w:val="0"/>
          <w:bCs w:val="0"/>
          <w:color w:val="auto"/>
          <w:sz w:val="32"/>
          <w:lang w:val="en-GB"/>
        </w:rPr>
        <w:t xml:space="preserve">onvection and Electric Field </w:t>
      </w:r>
      <w:r>
        <w:rPr>
          <w:b w:val="0"/>
          <w:bCs w:val="0"/>
          <w:color w:val="auto"/>
          <w:sz w:val="32"/>
          <w:lang w:val="en-GB"/>
        </w:rPr>
        <w:t>Treatment</w:t>
      </w:r>
    </w:p>
    <w:p w:rsidR="00AE212B" w:rsidRDefault="00AE212B" w:rsidP="00AE212B">
      <w:pPr>
        <w:pStyle w:val="Heading2"/>
        <w:spacing w:line="360" w:lineRule="auto"/>
        <w:jc w:val="both"/>
        <w:rPr>
          <w:sz w:val="24"/>
          <w:lang w:val="en-GB"/>
        </w:rPr>
      </w:pPr>
      <w:r>
        <w:rPr>
          <w:rFonts w:ascii="Britannic Bold" w:hAnsi="Britannic Bold"/>
          <w:b w:val="0"/>
          <w:bCs w:val="0"/>
          <w:noProof/>
          <w:snapToGrid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54610</wp:posOffset>
                </wp:positionV>
                <wp:extent cx="5486400" cy="0"/>
                <wp:effectExtent l="5080" t="10160" r="13970" b="889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4.3pt" to="450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BEa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">
                <w10:wrap type="topAndBottom"/>
              </v:line>
            </w:pict>
          </mc:Fallback>
        </mc:AlternateContent>
      </w:r>
    </w:p>
    <w:p w:rsidR="00AE212B" w:rsidRPr="00032B96" w:rsidRDefault="00AE212B" w:rsidP="00032B96">
      <w:pPr>
        <w:pStyle w:val="Heading2"/>
        <w:spacing w:line="360" w:lineRule="auto"/>
        <w:rPr>
          <w:color w:val="000000"/>
          <w:sz w:val="24"/>
          <w:szCs w:val="24"/>
          <w:lang w:val="en-US"/>
        </w:rPr>
      </w:pPr>
      <w:r w:rsidRPr="0042721B">
        <w:rPr>
          <w:color w:val="000000"/>
          <w:sz w:val="24"/>
          <w:szCs w:val="24"/>
          <w:lang w:val="en-US"/>
        </w:rPr>
        <w:t>A.B. Jemai</w:t>
      </w:r>
      <w:r w:rsidRPr="0042721B">
        <w:rPr>
          <w:color w:val="000000"/>
          <w:sz w:val="24"/>
          <w:szCs w:val="24"/>
          <w:vertAlign w:val="superscript"/>
          <w:lang w:val="en-US"/>
        </w:rPr>
        <w:t>a</w:t>
      </w:r>
      <w:r w:rsidRPr="005C1260">
        <w:rPr>
          <w:color w:val="000000"/>
          <w:sz w:val="24"/>
          <w:szCs w:val="24"/>
          <w:lang w:val="en-US"/>
        </w:rPr>
        <w:t>,</w:t>
      </w:r>
      <w:r>
        <w:rPr>
          <w:color w:val="000000"/>
          <w:sz w:val="24"/>
          <w:szCs w:val="24"/>
          <w:lang w:val="en-US"/>
        </w:rPr>
        <w:t xml:space="preserve"> </w:t>
      </w:r>
      <w:r w:rsidRPr="0042721B">
        <w:rPr>
          <w:color w:val="000000"/>
          <w:sz w:val="24"/>
          <w:szCs w:val="24"/>
          <w:lang w:val="en-US"/>
        </w:rPr>
        <w:t>L. Khezami</w:t>
      </w:r>
      <w:r w:rsidRPr="0042721B">
        <w:rPr>
          <w:color w:val="000000"/>
          <w:sz w:val="24"/>
          <w:szCs w:val="24"/>
          <w:vertAlign w:val="superscript"/>
          <w:lang w:val="en-US"/>
        </w:rPr>
        <w:t>b</w:t>
      </w:r>
      <w:r>
        <w:rPr>
          <w:color w:val="000000"/>
          <w:sz w:val="24"/>
          <w:szCs w:val="24"/>
          <w:lang w:val="en-US"/>
        </w:rPr>
        <w:t>, M. HadjKali</w:t>
      </w:r>
      <w:r w:rsidRPr="005C1260">
        <w:rPr>
          <w:color w:val="000000"/>
          <w:sz w:val="24"/>
          <w:szCs w:val="24"/>
          <w:vertAlign w:val="superscript"/>
          <w:lang w:val="en-US"/>
        </w:rPr>
        <w:t>a</w:t>
      </w:r>
      <w:r w:rsidR="00032B96">
        <w:rPr>
          <w:color w:val="000000"/>
          <w:sz w:val="24"/>
          <w:szCs w:val="24"/>
          <w:lang w:val="en-US"/>
        </w:rPr>
        <w:t xml:space="preserve">, </w:t>
      </w:r>
      <w:r w:rsidR="00032B96">
        <w:rPr>
          <w:color w:val="000000"/>
          <w:sz w:val="24"/>
          <w:szCs w:val="24"/>
          <w:lang w:val="en-US"/>
        </w:rPr>
        <w:t>and</w:t>
      </w:r>
      <w:r w:rsidR="00032B96">
        <w:rPr>
          <w:color w:val="000000"/>
          <w:sz w:val="24"/>
          <w:szCs w:val="24"/>
          <w:lang w:val="en-US"/>
        </w:rPr>
        <w:t xml:space="preserve"> E. Vorobiev</w:t>
      </w:r>
      <w:r w:rsidR="00032B96" w:rsidRPr="00032B96">
        <w:rPr>
          <w:color w:val="000000"/>
          <w:sz w:val="24"/>
          <w:szCs w:val="24"/>
          <w:vertAlign w:val="superscript"/>
          <w:lang w:val="en-US"/>
        </w:rPr>
        <w:t>c</w:t>
      </w:r>
    </w:p>
    <w:p w:rsidR="00AE212B" w:rsidRPr="0042721B" w:rsidRDefault="00AE212B" w:rsidP="00AE212B">
      <w:pPr>
        <w:jc w:val="center"/>
        <w:rPr>
          <w:lang w:val="en-US"/>
        </w:rPr>
      </w:pPr>
    </w:p>
    <w:p w:rsidR="00AE212B" w:rsidRPr="001D46CD" w:rsidRDefault="00AE212B" w:rsidP="00AE212B">
      <w:pPr>
        <w:numPr>
          <w:ilvl w:val="0"/>
          <w:numId w:val="1"/>
        </w:numPr>
        <w:tabs>
          <w:tab w:val="clear" w:pos="1080"/>
        </w:tabs>
        <w:ind w:left="180" w:right="-132" w:hanging="180"/>
        <w:rPr>
          <w:color w:val="000000"/>
          <w:sz w:val="20"/>
          <w:szCs w:val="20"/>
          <w:vertAlign w:val="baseline"/>
        </w:rPr>
      </w:pPr>
      <w:r w:rsidRPr="001D46CD">
        <w:rPr>
          <w:sz w:val="20"/>
          <w:szCs w:val="20"/>
          <w:vertAlign w:val="baseline"/>
        </w:rPr>
        <w:t>King Saud University, College of Engineering, Chemical Engineering Dept., P.O. Box 800 Riyadh 11421- KSA.</w:t>
      </w:r>
    </w:p>
    <w:p w:rsidR="00AE212B" w:rsidRPr="00032B96" w:rsidRDefault="00AE212B" w:rsidP="00AE212B">
      <w:pPr>
        <w:pStyle w:val="CETAffiliation"/>
        <w:numPr>
          <w:ilvl w:val="0"/>
          <w:numId w:val="1"/>
        </w:numPr>
        <w:tabs>
          <w:tab w:val="clear" w:pos="1080"/>
          <w:tab w:val="left" w:pos="180"/>
        </w:tabs>
        <w:spacing w:line="240" w:lineRule="auto"/>
        <w:ind w:left="180" w:hanging="180"/>
        <w:rPr>
          <w:vertAlign w:val="superscript"/>
        </w:rPr>
      </w:pPr>
      <w:r w:rsidRPr="001D46CD">
        <w:rPr>
          <w:lang w:val="en-US"/>
        </w:rPr>
        <w:t>Al Imam Mohammed Ibn Saud University, Faculty of Sciences-Department of Chemistry. P.O.Box: 90950 Riyadh: 11623 Kingdom of Saudi Arabia.</w:t>
      </w:r>
    </w:p>
    <w:p w:rsidR="00032B96" w:rsidRPr="001D46CD" w:rsidRDefault="00032B96" w:rsidP="00AE212B">
      <w:pPr>
        <w:pStyle w:val="CETAffiliation"/>
        <w:numPr>
          <w:ilvl w:val="0"/>
          <w:numId w:val="1"/>
        </w:numPr>
        <w:tabs>
          <w:tab w:val="clear" w:pos="1080"/>
          <w:tab w:val="left" w:pos="180"/>
        </w:tabs>
        <w:spacing w:line="240" w:lineRule="auto"/>
        <w:ind w:left="180" w:hanging="180"/>
        <w:rPr>
          <w:vertAlign w:val="superscript"/>
        </w:rPr>
      </w:pPr>
      <w:r>
        <w:rPr>
          <w:lang w:val="en-US"/>
        </w:rPr>
        <w:t>University of Technology of Compiegne, Chemical &amp; Industrial Process Engineering Department</w:t>
      </w:r>
    </w:p>
    <w:p w:rsidR="00AE212B" w:rsidRPr="00032B96" w:rsidRDefault="00AE212B" w:rsidP="00AE212B">
      <w:pPr>
        <w:rPr>
          <w:sz w:val="22"/>
          <w:szCs w:val="22"/>
          <w:vertAlign w:val="baseline"/>
        </w:rPr>
      </w:pPr>
    </w:p>
    <w:p w:rsidR="00AE212B" w:rsidRPr="001D46CD" w:rsidRDefault="00AE212B" w:rsidP="00AE212B">
      <w:pPr>
        <w:rPr>
          <w:sz w:val="22"/>
          <w:szCs w:val="22"/>
          <w:vertAlign w:val="baseline"/>
          <w:lang w:val="en-US"/>
        </w:rPr>
      </w:pPr>
    </w:p>
    <w:p w:rsidR="00AE212B" w:rsidRDefault="00AE212B" w:rsidP="00CF3237">
      <w:pPr>
        <w:pStyle w:val="BodyText"/>
        <w:spacing w:before="120" w:after="120"/>
        <w:rPr>
          <w:bCs/>
        </w:rPr>
      </w:pPr>
      <w:r>
        <w:rPr>
          <w:bCs/>
        </w:rPr>
        <w:t xml:space="preserve">The </w:t>
      </w:r>
      <w:r w:rsidR="00032B96">
        <w:rPr>
          <w:bCs/>
        </w:rPr>
        <w:t>impact</w:t>
      </w:r>
      <w:r>
        <w:rPr>
          <w:bCs/>
        </w:rPr>
        <w:t xml:space="preserve"> of forced convection and Pulsed Electric Field pretreatment on the drying kinetics of grating type carrot particles</w:t>
      </w:r>
      <w:r w:rsidR="00032B96">
        <w:rPr>
          <w:bCs/>
        </w:rPr>
        <w:t>,</w:t>
      </w:r>
      <w:r>
        <w:rPr>
          <w:bCs/>
        </w:rPr>
        <w:t xml:space="preserve"> placed in a closed chamber, have been studied based on continuous relative humidity measurements (ΔΦ) of circulating air.  The particles were placed in a </w:t>
      </w:r>
      <w:r w:rsidRPr="00D901C3">
        <w:rPr>
          <w:bCs/>
        </w:rPr>
        <w:t>laboratory</w:t>
      </w:r>
      <w:r w:rsidRPr="00D901C3">
        <w:rPr>
          <w:bCs/>
          <w:lang w:val="en-US"/>
        </w:rPr>
        <w:t>-scale</w:t>
      </w:r>
      <w:r w:rsidRPr="00D901C3">
        <w:rPr>
          <w:bCs/>
        </w:rPr>
        <w:t xml:space="preserve"> </w:t>
      </w:r>
      <w:r>
        <w:rPr>
          <w:bCs/>
        </w:rPr>
        <w:t xml:space="preserve">closed chamber (30g particles capacity) which can be used for the subsequent pressing operation and drying air circulation.  The kinetics of moisture content loss </w:t>
      </w:r>
      <w:r w:rsidR="00CF3237">
        <w:rPr>
          <w:bCs/>
        </w:rPr>
        <w:t>was</w:t>
      </w:r>
      <w:r>
        <w:rPr>
          <w:bCs/>
        </w:rPr>
        <w:t xml:space="preserve"> indirectly deduced from </w:t>
      </w:r>
      <w:r w:rsidR="00CF3237">
        <w:rPr>
          <w:bCs/>
        </w:rPr>
        <w:t>a</w:t>
      </w:r>
      <w:r>
        <w:rPr>
          <w:bCs/>
        </w:rPr>
        <w:t xml:space="preserve"> normalized form of the relative humidity difference</w:t>
      </w:r>
      <w:r w:rsidR="00CF3237">
        <w:rPr>
          <w:bCs/>
        </w:rPr>
        <w:t xml:space="preserve"> between the entering and leaving air streams</w:t>
      </w:r>
      <w:r>
        <w:rPr>
          <w:bCs/>
        </w:rPr>
        <w:t xml:space="preserve">. </w:t>
      </w:r>
      <w:r w:rsidR="00CF3237">
        <w:rPr>
          <w:bCs/>
        </w:rPr>
        <w:t>U</w:t>
      </w:r>
      <w:r>
        <w:rPr>
          <w:bCs/>
        </w:rPr>
        <w:t xml:space="preserve">sing </w:t>
      </w:r>
      <w:r w:rsidRPr="00D901C3">
        <w:rPr>
          <w:bCs/>
        </w:rPr>
        <w:t>two thermo-hygrometers</w:t>
      </w:r>
      <w:r>
        <w:rPr>
          <w:bCs/>
        </w:rPr>
        <w:t xml:space="preserve">, the continuous measurements of relative humidity difference between entering and exiting air were used in a normalized form to study the kinetics of drying for various air speed. The effect of an electric field pre-treatment of the particles </w:t>
      </w:r>
      <w:r w:rsidR="00CF3237">
        <w:rPr>
          <w:bCs/>
        </w:rPr>
        <w:t>was</w:t>
      </w:r>
      <w:r>
        <w:rPr>
          <w:bCs/>
        </w:rPr>
        <w:t xml:space="preserve"> also illustrated using this experimental setup. About 20% </w:t>
      </w:r>
      <w:r w:rsidR="00CF3237">
        <w:rPr>
          <w:bCs/>
        </w:rPr>
        <w:t xml:space="preserve">reduction in </w:t>
      </w:r>
      <w:r>
        <w:rPr>
          <w:bCs/>
        </w:rPr>
        <w:t xml:space="preserve">drying time </w:t>
      </w:r>
      <w:r w:rsidR="00CF3237">
        <w:rPr>
          <w:bCs/>
        </w:rPr>
        <w:t>could be</w:t>
      </w:r>
      <w:r>
        <w:rPr>
          <w:bCs/>
        </w:rPr>
        <w:t xml:space="preserve"> achieved following PEF pretreatment.</w:t>
      </w:r>
    </w:p>
    <w:p w:rsidR="00AE212B" w:rsidRPr="00D901C3" w:rsidRDefault="00AE212B" w:rsidP="00AE212B">
      <w:pPr>
        <w:pStyle w:val="BodyText"/>
        <w:spacing w:before="120" w:after="120"/>
        <w:rPr>
          <w:bCs/>
        </w:rPr>
      </w:pPr>
      <w:r w:rsidRPr="002E55E3">
        <w:rPr>
          <w:b/>
        </w:rPr>
        <w:t>Keywords:</w:t>
      </w:r>
      <w:r w:rsidRPr="00D901C3">
        <w:rPr>
          <w:bCs/>
        </w:rPr>
        <w:t xml:space="preserve"> </w:t>
      </w:r>
      <w:r>
        <w:rPr>
          <w:bCs/>
        </w:rPr>
        <w:t>Agro-food particles processing</w:t>
      </w:r>
      <w:r w:rsidRPr="00D901C3">
        <w:rPr>
          <w:bCs/>
        </w:rPr>
        <w:t xml:space="preserve">, </w:t>
      </w:r>
      <w:r>
        <w:rPr>
          <w:bCs/>
        </w:rPr>
        <w:t xml:space="preserve">Relative </w:t>
      </w:r>
      <w:r w:rsidRPr="00D901C3">
        <w:rPr>
          <w:bCs/>
        </w:rPr>
        <w:t xml:space="preserve">humidity, </w:t>
      </w:r>
      <w:r w:rsidR="004E67C7">
        <w:rPr>
          <w:bCs/>
        </w:rPr>
        <w:t xml:space="preserve">Modeling </w:t>
      </w:r>
      <w:r>
        <w:rPr>
          <w:bCs/>
        </w:rPr>
        <w:t>D</w:t>
      </w:r>
      <w:r w:rsidRPr="00D901C3">
        <w:rPr>
          <w:bCs/>
        </w:rPr>
        <w:t>rying</w:t>
      </w:r>
      <w:r w:rsidRPr="00D901C3">
        <w:rPr>
          <w:bCs/>
          <w:lang w:val="en-US"/>
        </w:rPr>
        <w:t xml:space="preserve"> kinetics</w:t>
      </w:r>
      <w:r w:rsidR="004E67C7">
        <w:rPr>
          <w:bCs/>
        </w:rPr>
        <w:t>,</w:t>
      </w:r>
      <w:r>
        <w:rPr>
          <w:bCs/>
        </w:rPr>
        <w:t xml:space="preserve"> </w:t>
      </w:r>
      <w:r w:rsidR="004E67C7">
        <w:rPr>
          <w:bCs/>
        </w:rPr>
        <w:t xml:space="preserve">Forced convection, </w:t>
      </w:r>
      <w:bookmarkStart w:id="0" w:name="_GoBack"/>
      <w:bookmarkEnd w:id="0"/>
      <w:r>
        <w:rPr>
          <w:bCs/>
          <w:lang w:val="en-US"/>
        </w:rPr>
        <w:t>E</w:t>
      </w:r>
      <w:r w:rsidRPr="00D901C3">
        <w:rPr>
          <w:bCs/>
          <w:lang w:val="en-US"/>
        </w:rPr>
        <w:t>lectric fields</w:t>
      </w:r>
      <w:r w:rsidRPr="00D901C3">
        <w:rPr>
          <w:bCs/>
        </w:rPr>
        <w:t>.</w:t>
      </w:r>
    </w:p>
    <w:p w:rsidR="001052E2" w:rsidRDefault="001052E2"/>
    <w:sectPr w:rsidR="00105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4526B"/>
    <w:multiLevelType w:val="hybridMultilevel"/>
    <w:tmpl w:val="1656269E"/>
    <w:lvl w:ilvl="0" w:tplc="DA4055A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sz w:val="20"/>
        <w:szCs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12B"/>
    <w:rsid w:val="00032B96"/>
    <w:rsid w:val="001052E2"/>
    <w:rsid w:val="004E67C7"/>
    <w:rsid w:val="00AE212B"/>
    <w:rsid w:val="00CF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vertAlign w:val="subscript"/>
      <w:lang w:val="en-GB" w:eastAsia="fr-FR"/>
    </w:rPr>
  </w:style>
  <w:style w:type="paragraph" w:styleId="Heading2">
    <w:name w:val="heading 2"/>
    <w:basedOn w:val="Normal"/>
    <w:next w:val="Normal"/>
    <w:link w:val="Heading2Char"/>
    <w:qFormat/>
    <w:rsid w:val="00AE212B"/>
    <w:pPr>
      <w:keepNext/>
      <w:jc w:val="center"/>
      <w:outlineLvl w:val="1"/>
    </w:pPr>
    <w:rPr>
      <w:b/>
      <w:bCs/>
      <w:snapToGrid w:val="0"/>
      <w:color w:val="000080"/>
      <w:sz w:val="48"/>
      <w:szCs w:val="48"/>
      <w:vertAlign w:val="baseline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212B"/>
    <w:rPr>
      <w:rFonts w:ascii="Times New Roman" w:eastAsia="Times New Roman" w:hAnsi="Times New Roman" w:cs="Times New Roman"/>
      <w:b/>
      <w:bCs/>
      <w:snapToGrid w:val="0"/>
      <w:color w:val="000080"/>
      <w:sz w:val="48"/>
      <w:szCs w:val="48"/>
      <w:lang w:val="fr-FR" w:eastAsia="fr-FR"/>
    </w:rPr>
  </w:style>
  <w:style w:type="paragraph" w:styleId="BodyText">
    <w:name w:val="Body Text"/>
    <w:basedOn w:val="Normal"/>
    <w:link w:val="BodyTextChar"/>
    <w:rsid w:val="00AE212B"/>
    <w:pPr>
      <w:spacing w:line="360" w:lineRule="auto"/>
      <w:jc w:val="both"/>
    </w:pPr>
    <w:rPr>
      <w:vertAlign w:val="baseline"/>
    </w:rPr>
  </w:style>
  <w:style w:type="character" w:customStyle="1" w:styleId="BodyTextChar">
    <w:name w:val="Body Text Char"/>
    <w:basedOn w:val="DefaultParagraphFont"/>
    <w:link w:val="BodyText"/>
    <w:rsid w:val="00AE212B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paragraph" w:customStyle="1" w:styleId="CETAffiliation">
    <w:name w:val="CET Affiliation"/>
    <w:rsid w:val="00AE212B"/>
    <w:pPr>
      <w:suppressAutoHyphens/>
      <w:spacing w:after="0" w:line="240" w:lineRule="exact"/>
    </w:pPr>
    <w:rPr>
      <w:rFonts w:ascii="Times New Roman" w:eastAsia="Times New Roman" w:hAnsi="Times New Roman" w:cs="Times New Roman"/>
      <w:noProof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vertAlign w:val="subscript"/>
      <w:lang w:val="en-GB" w:eastAsia="fr-FR"/>
    </w:rPr>
  </w:style>
  <w:style w:type="paragraph" w:styleId="Heading2">
    <w:name w:val="heading 2"/>
    <w:basedOn w:val="Normal"/>
    <w:next w:val="Normal"/>
    <w:link w:val="Heading2Char"/>
    <w:qFormat/>
    <w:rsid w:val="00AE212B"/>
    <w:pPr>
      <w:keepNext/>
      <w:jc w:val="center"/>
      <w:outlineLvl w:val="1"/>
    </w:pPr>
    <w:rPr>
      <w:b/>
      <w:bCs/>
      <w:snapToGrid w:val="0"/>
      <w:color w:val="000080"/>
      <w:sz w:val="48"/>
      <w:szCs w:val="48"/>
      <w:vertAlign w:val="baseline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212B"/>
    <w:rPr>
      <w:rFonts w:ascii="Times New Roman" w:eastAsia="Times New Roman" w:hAnsi="Times New Roman" w:cs="Times New Roman"/>
      <w:b/>
      <w:bCs/>
      <w:snapToGrid w:val="0"/>
      <w:color w:val="000080"/>
      <w:sz w:val="48"/>
      <w:szCs w:val="48"/>
      <w:lang w:val="fr-FR" w:eastAsia="fr-FR"/>
    </w:rPr>
  </w:style>
  <w:style w:type="paragraph" w:styleId="BodyText">
    <w:name w:val="Body Text"/>
    <w:basedOn w:val="Normal"/>
    <w:link w:val="BodyTextChar"/>
    <w:rsid w:val="00AE212B"/>
    <w:pPr>
      <w:spacing w:line="360" w:lineRule="auto"/>
      <w:jc w:val="both"/>
    </w:pPr>
    <w:rPr>
      <w:vertAlign w:val="baseline"/>
    </w:rPr>
  </w:style>
  <w:style w:type="character" w:customStyle="1" w:styleId="BodyTextChar">
    <w:name w:val="Body Text Char"/>
    <w:basedOn w:val="DefaultParagraphFont"/>
    <w:link w:val="BodyText"/>
    <w:rsid w:val="00AE212B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paragraph" w:customStyle="1" w:styleId="CETAffiliation">
    <w:name w:val="CET Affiliation"/>
    <w:rsid w:val="00AE212B"/>
    <w:pPr>
      <w:suppressAutoHyphens/>
      <w:spacing w:after="0" w:line="240" w:lineRule="exact"/>
    </w:pPr>
    <w:rPr>
      <w:rFonts w:ascii="Times New Roman" w:eastAsia="Times New Roman" w:hAnsi="Times New Roman" w:cs="Times New Roman"/>
      <w:noProof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abessadok</dc:creator>
  <cp:lastModifiedBy>abessadok</cp:lastModifiedBy>
  <cp:revision>3</cp:revision>
  <dcterms:created xsi:type="dcterms:W3CDTF">2014-05-13T02:09:00Z</dcterms:created>
  <dcterms:modified xsi:type="dcterms:W3CDTF">2014-05-13T02:30:00Z</dcterms:modified>
</cp:coreProperties>
</file>