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DFD" w:rsidRPr="002750BF" w:rsidRDefault="000E0A0C" w:rsidP="00F6598F">
      <w:pPr>
        <w:jc w:val="center"/>
        <w:rPr>
          <w:rFonts w:ascii="Arial" w:hAnsi="Arial" w:cs="Arial"/>
          <w:b/>
          <w:sz w:val="24"/>
          <w:szCs w:val="24"/>
        </w:rPr>
      </w:pPr>
      <w:r w:rsidRPr="002750BF">
        <w:rPr>
          <w:rFonts w:ascii="Arial" w:hAnsi="Arial" w:cs="Arial"/>
          <w:b/>
          <w:sz w:val="24"/>
          <w:szCs w:val="24"/>
        </w:rPr>
        <w:t>I</w:t>
      </w:r>
      <w:r w:rsidR="006B46BA" w:rsidRPr="002750BF">
        <w:rPr>
          <w:rFonts w:ascii="Arial" w:hAnsi="Arial" w:cs="Arial"/>
          <w:b/>
          <w:sz w:val="24"/>
          <w:szCs w:val="24"/>
        </w:rPr>
        <w:t xml:space="preserve">mproved Stability of Polymer-conjugated Lactate Dehydrogenase by Covalent Attachment of </w:t>
      </w:r>
      <w:proofErr w:type="gramStart"/>
      <w:r w:rsidR="006B46BA" w:rsidRPr="002750BF">
        <w:rPr>
          <w:rFonts w:ascii="Arial" w:hAnsi="Arial" w:cs="Arial"/>
          <w:b/>
          <w:sz w:val="24"/>
          <w:szCs w:val="24"/>
        </w:rPr>
        <w:t>Poly(</w:t>
      </w:r>
      <w:proofErr w:type="gramEnd"/>
      <w:r w:rsidR="006B46BA" w:rsidRPr="002750BF">
        <w:rPr>
          <w:rFonts w:ascii="Arial" w:hAnsi="Arial" w:cs="Arial"/>
          <w:b/>
          <w:sz w:val="24"/>
          <w:szCs w:val="24"/>
        </w:rPr>
        <w:t>Ethylene Glycol)</w:t>
      </w:r>
    </w:p>
    <w:p w:rsidR="006D20A5" w:rsidRPr="002750BF" w:rsidRDefault="006D20A5" w:rsidP="00F6598F">
      <w:pPr>
        <w:jc w:val="center"/>
        <w:rPr>
          <w:rFonts w:ascii="Arial" w:hAnsi="Arial" w:cs="Arial"/>
          <w:sz w:val="24"/>
          <w:szCs w:val="24"/>
        </w:rPr>
      </w:pPr>
    </w:p>
    <w:p w:rsidR="00992DFD" w:rsidRPr="002750BF" w:rsidRDefault="00B458F1" w:rsidP="00F6598F">
      <w:pPr>
        <w:jc w:val="center"/>
        <w:rPr>
          <w:rFonts w:ascii="Arial" w:hAnsi="Arial" w:cs="Arial"/>
          <w:sz w:val="24"/>
          <w:szCs w:val="24"/>
        </w:rPr>
      </w:pPr>
      <w:r w:rsidRPr="002750BF">
        <w:rPr>
          <w:rFonts w:ascii="Arial" w:hAnsi="Arial" w:cs="Arial"/>
          <w:sz w:val="24"/>
          <w:szCs w:val="24"/>
          <w:u w:val="single"/>
        </w:rPr>
        <w:t>Robert Compton</w:t>
      </w:r>
      <w:r w:rsidR="00F85589" w:rsidRPr="002750BF">
        <w:rPr>
          <w:rFonts w:ascii="Arial" w:hAnsi="Arial" w:cs="Arial"/>
          <w:sz w:val="24"/>
          <w:szCs w:val="24"/>
          <w:u w:val="single"/>
          <w:vertAlign w:val="superscript"/>
        </w:rPr>
        <w:t>1</w:t>
      </w:r>
      <w:r w:rsidRPr="002750BF">
        <w:rPr>
          <w:rFonts w:ascii="Arial" w:hAnsi="Arial" w:cs="Arial"/>
          <w:sz w:val="24"/>
          <w:szCs w:val="24"/>
        </w:rPr>
        <w:t>, Robert Chambers</w:t>
      </w:r>
      <w:r w:rsidR="00925D05" w:rsidRPr="002750BF">
        <w:rPr>
          <w:rFonts w:ascii="Arial" w:hAnsi="Arial" w:cs="Arial"/>
          <w:sz w:val="24"/>
          <w:szCs w:val="24"/>
          <w:vertAlign w:val="superscript"/>
        </w:rPr>
        <w:t>2</w:t>
      </w:r>
    </w:p>
    <w:p w:rsidR="00992DFD" w:rsidRPr="002750BF" w:rsidRDefault="00992DFD" w:rsidP="00F6598F">
      <w:pPr>
        <w:jc w:val="center"/>
        <w:rPr>
          <w:rFonts w:ascii="Arial" w:hAnsi="Arial" w:cs="Arial"/>
          <w:sz w:val="24"/>
          <w:szCs w:val="24"/>
        </w:rPr>
      </w:pPr>
    </w:p>
    <w:p w:rsidR="00992DFD" w:rsidRPr="002750BF" w:rsidRDefault="00B458F1" w:rsidP="00F6598F">
      <w:pPr>
        <w:jc w:val="center"/>
        <w:rPr>
          <w:rFonts w:ascii="Arial" w:hAnsi="Arial" w:cs="Arial"/>
          <w:sz w:val="24"/>
          <w:szCs w:val="24"/>
        </w:rPr>
      </w:pPr>
      <w:r w:rsidRPr="002750BF">
        <w:rPr>
          <w:rFonts w:ascii="Arial" w:hAnsi="Arial" w:cs="Arial"/>
          <w:sz w:val="24"/>
          <w:szCs w:val="24"/>
        </w:rPr>
        <w:t>Auburn University</w:t>
      </w:r>
      <w:r w:rsidR="00F85589" w:rsidRPr="002750BF">
        <w:rPr>
          <w:rFonts w:ascii="Arial" w:hAnsi="Arial" w:cs="Arial"/>
          <w:sz w:val="24"/>
          <w:szCs w:val="24"/>
          <w:vertAlign w:val="superscript"/>
        </w:rPr>
        <w:t>1</w:t>
      </w:r>
      <w:proofErr w:type="gramStart"/>
      <w:r w:rsidR="00925D05" w:rsidRPr="002750BF">
        <w:rPr>
          <w:rFonts w:ascii="Arial" w:hAnsi="Arial" w:cs="Arial"/>
          <w:sz w:val="24"/>
          <w:szCs w:val="24"/>
          <w:vertAlign w:val="superscript"/>
        </w:rPr>
        <w:t>,2</w:t>
      </w:r>
      <w:proofErr w:type="gramEnd"/>
    </w:p>
    <w:p w:rsidR="00992DFD" w:rsidRPr="002750BF" w:rsidRDefault="00B458F1" w:rsidP="00F6598F">
      <w:pPr>
        <w:jc w:val="center"/>
        <w:rPr>
          <w:rFonts w:ascii="Arial" w:hAnsi="Arial" w:cs="Arial"/>
          <w:sz w:val="24"/>
          <w:szCs w:val="24"/>
        </w:rPr>
      </w:pPr>
      <w:r w:rsidRPr="002750BF">
        <w:rPr>
          <w:rFonts w:ascii="Arial" w:hAnsi="Arial" w:cs="Arial"/>
          <w:sz w:val="24"/>
          <w:szCs w:val="24"/>
        </w:rPr>
        <w:t>Department of Chemical Engineering</w:t>
      </w:r>
    </w:p>
    <w:p w:rsidR="00992DFD" w:rsidRPr="002750BF" w:rsidRDefault="00B458F1" w:rsidP="00F6598F">
      <w:pPr>
        <w:jc w:val="center"/>
        <w:rPr>
          <w:rFonts w:ascii="Arial" w:hAnsi="Arial" w:cs="Arial"/>
          <w:sz w:val="24"/>
          <w:szCs w:val="24"/>
        </w:rPr>
      </w:pPr>
      <w:r w:rsidRPr="002750BF">
        <w:rPr>
          <w:rFonts w:ascii="Arial" w:hAnsi="Arial" w:cs="Arial"/>
          <w:sz w:val="24"/>
          <w:szCs w:val="24"/>
        </w:rPr>
        <w:t>212 Ross Hall</w:t>
      </w:r>
    </w:p>
    <w:p w:rsidR="00992DFD" w:rsidRPr="002750BF" w:rsidRDefault="00B458F1" w:rsidP="00F6598F">
      <w:pPr>
        <w:jc w:val="center"/>
        <w:rPr>
          <w:rFonts w:ascii="Arial" w:hAnsi="Arial" w:cs="Arial"/>
          <w:sz w:val="24"/>
          <w:szCs w:val="24"/>
        </w:rPr>
      </w:pPr>
      <w:r w:rsidRPr="002750BF">
        <w:rPr>
          <w:rFonts w:ascii="Arial" w:hAnsi="Arial" w:cs="Arial"/>
          <w:sz w:val="24"/>
          <w:szCs w:val="24"/>
        </w:rPr>
        <w:t>Auburn University</w:t>
      </w:r>
      <w:r w:rsidR="00992DFD" w:rsidRPr="002750BF">
        <w:rPr>
          <w:rFonts w:ascii="Arial" w:hAnsi="Arial" w:cs="Arial"/>
          <w:sz w:val="24"/>
          <w:szCs w:val="24"/>
        </w:rPr>
        <w:t xml:space="preserve">, </w:t>
      </w:r>
      <w:r w:rsidRPr="002750BF">
        <w:rPr>
          <w:rFonts w:ascii="Arial" w:hAnsi="Arial" w:cs="Arial"/>
          <w:sz w:val="24"/>
          <w:szCs w:val="24"/>
        </w:rPr>
        <w:t>Alabama</w:t>
      </w:r>
      <w:r w:rsidR="00F6598F" w:rsidRPr="002750BF">
        <w:rPr>
          <w:rFonts w:ascii="Arial" w:hAnsi="Arial" w:cs="Arial"/>
          <w:sz w:val="24"/>
          <w:szCs w:val="24"/>
        </w:rPr>
        <w:t xml:space="preserve">, </w:t>
      </w:r>
      <w:r w:rsidRPr="002750BF">
        <w:rPr>
          <w:rFonts w:ascii="Arial" w:hAnsi="Arial" w:cs="Arial"/>
          <w:sz w:val="24"/>
          <w:szCs w:val="24"/>
        </w:rPr>
        <w:t>36845-5127</w:t>
      </w:r>
      <w:r w:rsidR="00F6598F" w:rsidRPr="002750BF">
        <w:rPr>
          <w:rFonts w:ascii="Arial" w:hAnsi="Arial" w:cs="Arial"/>
          <w:sz w:val="24"/>
          <w:szCs w:val="24"/>
        </w:rPr>
        <w:t xml:space="preserve">, </w:t>
      </w:r>
      <w:r w:rsidRPr="002750BF">
        <w:rPr>
          <w:rFonts w:ascii="Arial" w:hAnsi="Arial" w:cs="Arial"/>
          <w:sz w:val="24"/>
          <w:szCs w:val="24"/>
        </w:rPr>
        <w:t>USA</w:t>
      </w:r>
    </w:p>
    <w:p w:rsidR="00F6598F" w:rsidRPr="002750BF" w:rsidRDefault="00F6598F" w:rsidP="00F6598F">
      <w:pPr>
        <w:jc w:val="center"/>
        <w:rPr>
          <w:rFonts w:ascii="Arial" w:hAnsi="Arial" w:cs="Arial"/>
          <w:sz w:val="24"/>
          <w:szCs w:val="24"/>
        </w:rPr>
      </w:pPr>
      <w:bookmarkStart w:id="0" w:name="_GoBack"/>
      <w:bookmarkEnd w:id="0"/>
    </w:p>
    <w:p w:rsidR="00F6598F" w:rsidRPr="002750BF" w:rsidRDefault="00925D05" w:rsidP="00F6598F">
      <w:pPr>
        <w:jc w:val="center"/>
        <w:rPr>
          <w:rFonts w:ascii="Arial" w:hAnsi="Arial" w:cs="Arial"/>
          <w:sz w:val="24"/>
          <w:szCs w:val="24"/>
          <w:vertAlign w:val="superscript"/>
        </w:rPr>
      </w:pPr>
      <w:r w:rsidRPr="002750BF">
        <w:rPr>
          <w:rFonts w:ascii="Arial" w:hAnsi="Arial" w:cs="Arial"/>
          <w:sz w:val="24"/>
          <w:szCs w:val="24"/>
        </w:rPr>
        <w:t>rcompton@auburn.edu</w:t>
      </w:r>
      <w:r w:rsidRPr="002750BF">
        <w:rPr>
          <w:rFonts w:ascii="Arial" w:hAnsi="Arial" w:cs="Arial"/>
          <w:sz w:val="24"/>
          <w:szCs w:val="24"/>
          <w:vertAlign w:val="superscript"/>
        </w:rPr>
        <w:t>1</w:t>
      </w:r>
      <w:r w:rsidRPr="002750BF">
        <w:rPr>
          <w:rFonts w:ascii="Arial" w:hAnsi="Arial" w:cs="Arial"/>
          <w:sz w:val="24"/>
          <w:szCs w:val="24"/>
        </w:rPr>
        <w:tab/>
        <w:t>chambro@auburn.edu</w:t>
      </w:r>
      <w:r w:rsidRPr="002750BF">
        <w:rPr>
          <w:rFonts w:ascii="Arial" w:hAnsi="Arial" w:cs="Arial"/>
          <w:sz w:val="24"/>
          <w:szCs w:val="24"/>
          <w:vertAlign w:val="superscript"/>
        </w:rPr>
        <w:t>2</w:t>
      </w:r>
    </w:p>
    <w:p w:rsidR="00925D05" w:rsidRPr="002750BF" w:rsidRDefault="00925D05" w:rsidP="00F6598F">
      <w:pPr>
        <w:jc w:val="center"/>
        <w:rPr>
          <w:rFonts w:ascii="Arial" w:hAnsi="Arial" w:cs="Arial"/>
          <w:sz w:val="24"/>
          <w:szCs w:val="24"/>
        </w:rPr>
        <w:sectPr w:rsidR="00925D05" w:rsidRPr="002750BF" w:rsidSect="00B97D62">
          <w:pgSz w:w="12240" w:h="15840"/>
          <w:pgMar w:top="1080" w:right="1080" w:bottom="1080" w:left="1080" w:header="720" w:footer="720" w:gutter="0"/>
          <w:cols w:space="720"/>
          <w:docGrid w:linePitch="360"/>
        </w:sectPr>
      </w:pPr>
    </w:p>
    <w:p w:rsidR="00F85589" w:rsidRPr="002750BF" w:rsidRDefault="00F85589" w:rsidP="00F6598F">
      <w:pPr>
        <w:jc w:val="center"/>
        <w:rPr>
          <w:rFonts w:ascii="Arial" w:hAnsi="Arial" w:cs="Arial"/>
          <w:sz w:val="24"/>
          <w:szCs w:val="24"/>
        </w:rPr>
      </w:pPr>
    </w:p>
    <w:p w:rsidR="008E5715" w:rsidRPr="002750BF" w:rsidRDefault="008E5715" w:rsidP="00F85589">
      <w:pPr>
        <w:rPr>
          <w:rFonts w:ascii="Arial" w:hAnsi="Arial" w:cs="Arial"/>
          <w:b/>
          <w:sz w:val="24"/>
          <w:szCs w:val="24"/>
        </w:rPr>
        <w:sectPr w:rsidR="008E5715" w:rsidRPr="002750BF" w:rsidSect="00925D05">
          <w:type w:val="continuous"/>
          <w:pgSz w:w="12240" w:h="15840"/>
          <w:pgMar w:top="1080" w:right="1080" w:bottom="1080" w:left="1080" w:header="720" w:footer="720" w:gutter="0"/>
          <w:cols w:space="720"/>
          <w:docGrid w:linePitch="360"/>
        </w:sectPr>
      </w:pPr>
    </w:p>
    <w:p w:rsidR="00430DED" w:rsidRDefault="00430DED" w:rsidP="00430DED">
      <w:pPr>
        <w:rPr>
          <w:rFonts w:ascii="Arial" w:hAnsi="Arial" w:cs="Arial"/>
          <w:bCs/>
          <w:color w:val="000000"/>
          <w:sz w:val="24"/>
          <w:szCs w:val="24"/>
          <w:bdr w:val="none" w:sz="0" w:space="0" w:color="auto" w:frame="1"/>
        </w:rPr>
      </w:pPr>
      <w:r w:rsidRPr="002750BF">
        <w:rPr>
          <w:rFonts w:ascii="Arial" w:hAnsi="Arial" w:cs="Arial"/>
          <w:color w:val="000000"/>
          <w:sz w:val="24"/>
          <w:szCs w:val="24"/>
        </w:rPr>
        <w:lastRenderedPageBreak/>
        <w:t>Biohybrid materials, or materials utilizing biological materials in their rational</w:t>
      </w:r>
      <w:r w:rsidRPr="00A73ECF">
        <w:rPr>
          <w:rFonts w:ascii="Arial" w:hAnsi="Arial" w:cs="Arial"/>
          <w:color w:val="000000"/>
          <w:sz w:val="24"/>
          <w:szCs w:val="24"/>
        </w:rPr>
        <w:t xml:space="preserve"> design, are prime candidates to act as therapeutic carriers for detoxification processes.</w:t>
      </w:r>
      <w:r>
        <w:rPr>
          <w:rFonts w:ascii="Arial" w:hAnsi="Arial" w:cs="Arial"/>
          <w:color w:val="000000"/>
          <w:sz w:val="24"/>
          <w:szCs w:val="24"/>
        </w:rPr>
        <w:t xml:space="preserve"> Liver disease is the 12</w:t>
      </w:r>
      <w:r w:rsidRPr="00686F14">
        <w:rPr>
          <w:rFonts w:ascii="Arial" w:hAnsi="Arial" w:cs="Arial"/>
          <w:color w:val="000000"/>
          <w:sz w:val="24"/>
          <w:szCs w:val="24"/>
          <w:vertAlign w:val="superscript"/>
        </w:rPr>
        <w:t>th</w:t>
      </w:r>
      <w:r>
        <w:rPr>
          <w:rFonts w:ascii="Arial" w:hAnsi="Arial" w:cs="Arial"/>
          <w:color w:val="000000"/>
          <w:sz w:val="24"/>
          <w:szCs w:val="24"/>
        </w:rPr>
        <w:t xml:space="preserve"> highest cause of death in the United States for 2009 and 2010. Liver toxicity is a primary contributor and promoter of liver disease.</w:t>
      </w:r>
      <w:r w:rsidRPr="00A73ECF">
        <w:rPr>
          <w:rFonts w:ascii="Arial" w:hAnsi="Arial" w:cs="Arial"/>
          <w:color w:val="000000"/>
          <w:sz w:val="24"/>
          <w:szCs w:val="24"/>
        </w:rPr>
        <w:t xml:space="preserve"> </w:t>
      </w:r>
      <w:r w:rsidRPr="00A73ECF">
        <w:rPr>
          <w:rFonts w:ascii="Arial" w:hAnsi="Arial" w:cs="Arial"/>
          <w:bCs/>
          <w:color w:val="000000" w:themeColor="text1"/>
          <w:sz w:val="24"/>
          <w:szCs w:val="24"/>
          <w:bdr w:val="none" w:sz="0" w:space="0" w:color="auto" w:frame="1"/>
        </w:rPr>
        <w:t>To this end,</w:t>
      </w:r>
      <w:r>
        <w:rPr>
          <w:rFonts w:ascii="Arial" w:hAnsi="Arial" w:cs="Arial"/>
          <w:bCs/>
          <w:color w:val="000000" w:themeColor="text1"/>
          <w:sz w:val="24"/>
          <w:szCs w:val="24"/>
          <w:bdr w:val="none" w:sz="0" w:space="0" w:color="auto" w:frame="1"/>
        </w:rPr>
        <w:t xml:space="preserve"> a biomimetic polymer</w:t>
      </w:r>
      <w:r w:rsidRPr="00A73ECF">
        <w:rPr>
          <w:rFonts w:ascii="Arial" w:hAnsi="Arial" w:cs="Arial"/>
          <w:bCs/>
          <w:color w:val="000000" w:themeColor="text1"/>
          <w:sz w:val="24"/>
          <w:szCs w:val="24"/>
          <w:bdr w:val="none" w:sz="0" w:space="0" w:color="auto" w:frame="1"/>
        </w:rPr>
        <w:t xml:space="preserve"> enzyme system was produced and characterized to ascertain its ability for detoxification to aid in liver regeneration.</w:t>
      </w:r>
    </w:p>
    <w:p w:rsidR="00430DED" w:rsidRPr="00A73ECF" w:rsidRDefault="00430DED" w:rsidP="00430DED">
      <w:pPr>
        <w:rPr>
          <w:rFonts w:ascii="Arial" w:hAnsi="Arial" w:cs="Arial"/>
          <w:color w:val="000000"/>
          <w:sz w:val="24"/>
          <w:szCs w:val="24"/>
        </w:rPr>
      </w:pPr>
      <w:proofErr w:type="gramStart"/>
      <w:r w:rsidRPr="00A73ECF">
        <w:rPr>
          <w:rFonts w:ascii="Arial" w:hAnsi="Arial" w:cs="Arial"/>
          <w:color w:val="000000"/>
          <w:sz w:val="24"/>
          <w:szCs w:val="24"/>
        </w:rPr>
        <w:t>Poly(</w:t>
      </w:r>
      <w:proofErr w:type="gramEnd"/>
      <w:r w:rsidRPr="00A73ECF">
        <w:rPr>
          <w:rFonts w:ascii="Arial" w:hAnsi="Arial" w:cs="Arial"/>
          <w:color w:val="000000"/>
          <w:sz w:val="24"/>
          <w:szCs w:val="24"/>
        </w:rPr>
        <w:t xml:space="preserve">ethylene glycol) with a succinimidyl  end group was used to covalently attach to the primary amine groups of </w:t>
      </w:r>
      <w:r>
        <w:rPr>
          <w:rFonts w:ascii="Arial" w:hAnsi="Arial" w:cs="Arial"/>
          <w:color w:val="000000"/>
          <w:sz w:val="24"/>
          <w:szCs w:val="24"/>
        </w:rPr>
        <w:t xml:space="preserve"> lactate d</w:t>
      </w:r>
      <w:r w:rsidRPr="00A73ECF">
        <w:rPr>
          <w:rFonts w:ascii="Arial" w:hAnsi="Arial" w:cs="Arial"/>
          <w:color w:val="000000"/>
          <w:sz w:val="24"/>
          <w:szCs w:val="24"/>
        </w:rPr>
        <w:t>ehydrogenase</w:t>
      </w:r>
      <w:r>
        <w:rPr>
          <w:rFonts w:ascii="Arial" w:hAnsi="Arial" w:cs="Arial"/>
          <w:color w:val="000000"/>
          <w:sz w:val="24"/>
          <w:szCs w:val="24"/>
        </w:rPr>
        <w:t xml:space="preserve"> e</w:t>
      </w:r>
      <w:r w:rsidRPr="00A73ECF">
        <w:rPr>
          <w:rFonts w:ascii="Arial" w:hAnsi="Arial" w:cs="Arial"/>
          <w:color w:val="000000"/>
          <w:sz w:val="24"/>
          <w:szCs w:val="24"/>
        </w:rPr>
        <w:t>nzyme.</w:t>
      </w:r>
      <w:r>
        <w:rPr>
          <w:rFonts w:ascii="Arial" w:hAnsi="Arial" w:cs="Arial"/>
          <w:color w:val="000000"/>
          <w:sz w:val="24"/>
          <w:szCs w:val="24"/>
        </w:rPr>
        <w:t xml:space="preserve"> Lactate dehydrogenase was used as cofactor regeneration for alcohol and aldehyde dehydrogenases, the two toxins our system is focused on metabolizing. To produce a mechanically useable structure the polymer-conjugated enzyme was gelled using alginate. Alginate was chosen for its </w:t>
      </w:r>
      <w:proofErr w:type="spellStart"/>
      <w:r>
        <w:rPr>
          <w:rFonts w:ascii="Arial" w:hAnsi="Arial" w:cs="Arial"/>
          <w:color w:val="000000"/>
          <w:sz w:val="24"/>
          <w:szCs w:val="24"/>
        </w:rPr>
        <w:t>muco</w:t>
      </w:r>
      <w:proofErr w:type="spellEnd"/>
      <w:r>
        <w:rPr>
          <w:rFonts w:ascii="Arial" w:hAnsi="Arial" w:cs="Arial"/>
          <w:color w:val="000000"/>
          <w:sz w:val="24"/>
          <w:szCs w:val="24"/>
        </w:rPr>
        <w:t>-adhesive properties in alkaline environments such as the small intestine, our target for therapeutic activity.</w:t>
      </w:r>
      <w:r w:rsidRPr="00A73ECF">
        <w:rPr>
          <w:rFonts w:ascii="Arial" w:hAnsi="Arial" w:cs="Arial"/>
          <w:color w:val="000000"/>
          <w:sz w:val="24"/>
          <w:szCs w:val="24"/>
        </w:rPr>
        <w:t xml:space="preserve"> The degree of modification of the newly formed </w:t>
      </w:r>
      <w:proofErr w:type="spellStart"/>
      <w:r w:rsidRPr="00A73ECF">
        <w:rPr>
          <w:rFonts w:ascii="Arial" w:hAnsi="Arial" w:cs="Arial"/>
          <w:color w:val="000000"/>
          <w:sz w:val="24"/>
          <w:szCs w:val="24"/>
        </w:rPr>
        <w:t>PEGylated</w:t>
      </w:r>
      <w:proofErr w:type="spellEnd"/>
      <w:r w:rsidRPr="00A73ECF">
        <w:rPr>
          <w:rFonts w:ascii="Arial" w:hAnsi="Arial" w:cs="Arial"/>
          <w:color w:val="000000"/>
          <w:sz w:val="24"/>
          <w:szCs w:val="24"/>
        </w:rPr>
        <w:t xml:space="preserve"> enzyme was determined by using a barium iodid</w:t>
      </w:r>
      <w:r>
        <w:rPr>
          <w:rFonts w:ascii="Arial" w:hAnsi="Arial" w:cs="Arial"/>
          <w:color w:val="000000"/>
          <w:sz w:val="24"/>
          <w:szCs w:val="24"/>
        </w:rPr>
        <w:t>e colorimetric assay and the Pie</w:t>
      </w:r>
      <w:r w:rsidRPr="00A73ECF">
        <w:rPr>
          <w:rFonts w:ascii="Arial" w:hAnsi="Arial" w:cs="Arial"/>
          <w:color w:val="000000"/>
          <w:sz w:val="24"/>
          <w:szCs w:val="24"/>
        </w:rPr>
        <w:t xml:space="preserve">rce BCA protein assay kit. Using the activity of vary degrees of modification the optimum level of </w:t>
      </w:r>
      <w:proofErr w:type="spellStart"/>
      <w:r w:rsidRPr="00A73ECF">
        <w:rPr>
          <w:rFonts w:ascii="Arial" w:hAnsi="Arial" w:cs="Arial"/>
          <w:color w:val="000000"/>
          <w:sz w:val="24"/>
          <w:szCs w:val="24"/>
        </w:rPr>
        <w:t>PEGylation</w:t>
      </w:r>
      <w:proofErr w:type="spellEnd"/>
      <w:r w:rsidRPr="00A73ECF">
        <w:rPr>
          <w:rFonts w:ascii="Arial" w:hAnsi="Arial" w:cs="Arial"/>
          <w:color w:val="000000"/>
          <w:sz w:val="24"/>
          <w:szCs w:val="24"/>
        </w:rPr>
        <w:t xml:space="preserve"> was determined. The optimized </w:t>
      </w:r>
      <w:proofErr w:type="spellStart"/>
      <w:r w:rsidRPr="00A73ECF">
        <w:rPr>
          <w:rFonts w:ascii="Arial" w:hAnsi="Arial" w:cs="Arial"/>
          <w:color w:val="000000"/>
          <w:sz w:val="24"/>
          <w:szCs w:val="24"/>
        </w:rPr>
        <w:t>PEGylated</w:t>
      </w:r>
      <w:proofErr w:type="spellEnd"/>
      <w:r w:rsidRPr="00A73ECF">
        <w:rPr>
          <w:rFonts w:ascii="Arial" w:hAnsi="Arial" w:cs="Arial"/>
          <w:color w:val="000000"/>
          <w:sz w:val="24"/>
          <w:szCs w:val="24"/>
        </w:rPr>
        <w:t xml:space="preserve"> enzyme’s kinetic properties were </w:t>
      </w:r>
      <w:r>
        <w:rPr>
          <w:rFonts w:ascii="Arial" w:hAnsi="Arial" w:cs="Arial"/>
          <w:color w:val="000000"/>
          <w:sz w:val="24"/>
          <w:szCs w:val="24"/>
        </w:rPr>
        <w:t>characterized</w:t>
      </w:r>
      <w:r w:rsidRPr="00A73ECF">
        <w:rPr>
          <w:rFonts w:ascii="Arial" w:hAnsi="Arial" w:cs="Arial"/>
          <w:color w:val="000000"/>
          <w:sz w:val="24"/>
          <w:szCs w:val="24"/>
        </w:rPr>
        <w:t xml:space="preserve"> at a range of </w:t>
      </w:r>
      <w:proofErr w:type="spellStart"/>
      <w:proofErr w:type="gramStart"/>
      <w:r w:rsidRPr="00A73ECF">
        <w:rPr>
          <w:rFonts w:ascii="Arial" w:hAnsi="Arial" w:cs="Arial"/>
          <w:color w:val="000000"/>
          <w:sz w:val="24"/>
          <w:szCs w:val="24"/>
        </w:rPr>
        <w:t>pHs</w:t>
      </w:r>
      <w:proofErr w:type="spellEnd"/>
      <w:proofErr w:type="gramEnd"/>
      <w:r w:rsidRPr="00A73ECF">
        <w:rPr>
          <w:rFonts w:ascii="Arial" w:hAnsi="Arial" w:cs="Arial"/>
          <w:color w:val="000000"/>
          <w:sz w:val="24"/>
          <w:szCs w:val="24"/>
        </w:rPr>
        <w:t xml:space="preserve"> found in the digestive tract. </w:t>
      </w:r>
    </w:p>
    <w:p w:rsidR="00430DED" w:rsidRPr="00A73ECF" w:rsidRDefault="00430DED" w:rsidP="00430DED">
      <w:pPr>
        <w:rPr>
          <w:rFonts w:ascii="Arial" w:hAnsi="Arial" w:cs="Arial"/>
          <w:sz w:val="24"/>
          <w:szCs w:val="24"/>
        </w:rPr>
      </w:pPr>
      <w:r w:rsidRPr="00A73ECF">
        <w:rPr>
          <w:rFonts w:ascii="Arial" w:hAnsi="Arial" w:cs="Arial"/>
          <w:sz w:val="24"/>
          <w:szCs w:val="24"/>
        </w:rPr>
        <w:t>Activity of the PEG-Enzyme system was shown to be considerably higher than previous polymer systems. This increase in activity was attributed to a separation of the polymerization and the conjugation steps. Using the studied methods, we were able to maintain sufficiently high activities to assist in biological reactions. The activity was also maintained for a broader range of pH, although the activity was similar when assayed within the varying pH concentrations. The enzyme was greatly protected against pepsin, trypsin and chymotrypsin enzymes as compared to the un-</w:t>
      </w:r>
      <w:proofErr w:type="spellStart"/>
      <w:r w:rsidRPr="00A73ECF">
        <w:rPr>
          <w:rFonts w:ascii="Arial" w:hAnsi="Arial" w:cs="Arial"/>
          <w:sz w:val="24"/>
          <w:szCs w:val="24"/>
        </w:rPr>
        <w:t>PEGylated</w:t>
      </w:r>
      <w:proofErr w:type="spellEnd"/>
      <w:r w:rsidRPr="00A73ECF">
        <w:rPr>
          <w:rFonts w:ascii="Arial" w:hAnsi="Arial" w:cs="Arial"/>
          <w:sz w:val="24"/>
          <w:szCs w:val="24"/>
        </w:rPr>
        <w:t xml:space="preserve"> enzyme. These qualities are important for the delivery of therapeutic enzymes through the digestive system.</w:t>
      </w:r>
    </w:p>
    <w:p w:rsidR="00992DFD" w:rsidRPr="008E5715" w:rsidRDefault="00430DED" w:rsidP="00430DED">
      <w:r w:rsidRPr="00A73ECF">
        <w:rPr>
          <w:rFonts w:ascii="Arial" w:hAnsi="Arial" w:cs="Arial"/>
          <w:sz w:val="24"/>
          <w:szCs w:val="24"/>
        </w:rPr>
        <w:t>Enzyme conjugated polymer systems show great potential for therapeutic carriers for detoxification enzyme systems.</w:t>
      </w:r>
    </w:p>
    <w:sectPr w:rsidR="00992DFD" w:rsidRPr="008E5715" w:rsidSect="00925D05">
      <w:type w:val="continuous"/>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C9F4599"/>
    <w:multiLevelType w:val="hybridMultilevel"/>
    <w:tmpl w:val="81DC52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6711E0"/>
    <w:multiLevelType w:val="hybridMultilevel"/>
    <w:tmpl w:val="96C6CB40"/>
    <w:lvl w:ilvl="0" w:tplc="F790E68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D7B7C68"/>
    <w:multiLevelType w:val="hybridMultilevel"/>
    <w:tmpl w:val="E9784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00"/>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2DFD"/>
    <w:rsid w:val="0008026B"/>
    <w:rsid w:val="000A6581"/>
    <w:rsid w:val="000E0A0C"/>
    <w:rsid w:val="001A305F"/>
    <w:rsid w:val="001E21F9"/>
    <w:rsid w:val="001F7690"/>
    <w:rsid w:val="002750BF"/>
    <w:rsid w:val="002A55EF"/>
    <w:rsid w:val="002D2556"/>
    <w:rsid w:val="002D6061"/>
    <w:rsid w:val="0032594E"/>
    <w:rsid w:val="00331BC0"/>
    <w:rsid w:val="003870A0"/>
    <w:rsid w:val="00421FB2"/>
    <w:rsid w:val="00430DED"/>
    <w:rsid w:val="004608A1"/>
    <w:rsid w:val="00520F26"/>
    <w:rsid w:val="005B47EE"/>
    <w:rsid w:val="005E2CE8"/>
    <w:rsid w:val="00630A4A"/>
    <w:rsid w:val="0066760E"/>
    <w:rsid w:val="006B46BA"/>
    <w:rsid w:val="006B5CBA"/>
    <w:rsid w:val="006D20A5"/>
    <w:rsid w:val="00743E59"/>
    <w:rsid w:val="00793ADA"/>
    <w:rsid w:val="008306D5"/>
    <w:rsid w:val="008E5715"/>
    <w:rsid w:val="00925D05"/>
    <w:rsid w:val="00931E51"/>
    <w:rsid w:val="00941C99"/>
    <w:rsid w:val="009438FA"/>
    <w:rsid w:val="00992DFD"/>
    <w:rsid w:val="009C35D1"/>
    <w:rsid w:val="00A00762"/>
    <w:rsid w:val="00A8556C"/>
    <w:rsid w:val="00AD6DEC"/>
    <w:rsid w:val="00B458F1"/>
    <w:rsid w:val="00B871D5"/>
    <w:rsid w:val="00B97D62"/>
    <w:rsid w:val="00BA3E02"/>
    <w:rsid w:val="00BC5F6C"/>
    <w:rsid w:val="00BD1B69"/>
    <w:rsid w:val="00C24E1F"/>
    <w:rsid w:val="00F6598F"/>
    <w:rsid w:val="00F855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0E"/>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98F"/>
    <w:pPr>
      <w:ind w:left="720"/>
      <w:contextualSpacing/>
    </w:pPr>
  </w:style>
  <w:style w:type="character" w:customStyle="1" w:styleId="apple-converted-space">
    <w:name w:val="apple-converted-space"/>
    <w:basedOn w:val="DefaultParagraphFont"/>
    <w:rsid w:val="000A6581"/>
  </w:style>
  <w:style w:type="paragraph" w:styleId="NormalWeb">
    <w:name w:val="Normal (Web)"/>
    <w:basedOn w:val="Normal"/>
    <w:uiPriority w:val="99"/>
    <w:unhideWhenUsed/>
    <w:rsid w:val="000A6581"/>
    <w:pPr>
      <w:spacing w:before="100" w:beforeAutospacing="1" w:after="100" w:afterAutospacing="1"/>
    </w:pPr>
    <w:rPr>
      <w:rFonts w:eastAsia="Times New Roman"/>
      <w:sz w:val="24"/>
      <w:szCs w:val="24"/>
    </w:rPr>
  </w:style>
  <w:style w:type="paragraph" w:styleId="BalloonText">
    <w:name w:val="Balloon Text"/>
    <w:basedOn w:val="Normal"/>
    <w:link w:val="BalloonTextChar"/>
    <w:uiPriority w:val="99"/>
    <w:semiHidden/>
    <w:unhideWhenUsed/>
    <w:rsid w:val="000A6581"/>
    <w:rPr>
      <w:rFonts w:ascii="Tahoma" w:hAnsi="Tahoma" w:cs="Tahoma"/>
      <w:sz w:val="16"/>
      <w:szCs w:val="16"/>
    </w:rPr>
  </w:style>
  <w:style w:type="character" w:customStyle="1" w:styleId="BalloonTextChar">
    <w:name w:val="Balloon Text Char"/>
    <w:basedOn w:val="DefaultParagraphFont"/>
    <w:link w:val="BalloonText"/>
    <w:uiPriority w:val="99"/>
    <w:semiHidden/>
    <w:rsid w:val="000A6581"/>
    <w:rPr>
      <w:rFonts w:ascii="Tahoma" w:hAnsi="Tahoma" w:cs="Tahoma"/>
      <w:sz w:val="16"/>
      <w:szCs w:val="16"/>
    </w:rPr>
  </w:style>
  <w:style w:type="paragraph" w:styleId="Caption">
    <w:name w:val="caption"/>
    <w:basedOn w:val="Normal"/>
    <w:next w:val="Normal"/>
    <w:uiPriority w:val="35"/>
    <w:unhideWhenUsed/>
    <w:qFormat/>
    <w:rsid w:val="006B5CBA"/>
    <w:pPr>
      <w:spacing w:after="200"/>
    </w:pPr>
    <w:rPr>
      <w:b/>
      <w:bCs/>
      <w:color w:val="4F81BD" w:themeColor="accent1"/>
      <w:sz w:val="18"/>
      <w:szCs w:val="18"/>
    </w:rPr>
  </w:style>
  <w:style w:type="character" w:styleId="Hyperlink">
    <w:name w:val="Hyperlink"/>
    <w:basedOn w:val="DefaultParagraphFont"/>
    <w:uiPriority w:val="99"/>
    <w:unhideWhenUsed/>
    <w:rsid w:val="00925D05"/>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760E"/>
    <w:rPr>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6598F"/>
    <w:pPr>
      <w:ind w:left="720"/>
      <w:contextualSpacing/>
    </w:pPr>
  </w:style>
  <w:style w:type="character" w:customStyle="1" w:styleId="apple-converted-space">
    <w:name w:val="apple-converted-space"/>
    <w:basedOn w:val="DefaultParagraphFont"/>
    <w:rsid w:val="000A6581"/>
  </w:style>
  <w:style w:type="paragraph" w:styleId="NormalWeb">
    <w:name w:val="Normal (Web)"/>
    <w:basedOn w:val="Normal"/>
    <w:uiPriority w:val="99"/>
    <w:unhideWhenUsed/>
    <w:rsid w:val="000A6581"/>
    <w:pPr>
      <w:spacing w:before="100" w:beforeAutospacing="1" w:after="100" w:afterAutospacing="1"/>
    </w:pPr>
    <w:rPr>
      <w:rFonts w:eastAsia="Times New Roman"/>
      <w:sz w:val="24"/>
      <w:szCs w:val="24"/>
    </w:rPr>
  </w:style>
  <w:style w:type="paragraph" w:styleId="BalloonText">
    <w:name w:val="Balloon Text"/>
    <w:basedOn w:val="Normal"/>
    <w:link w:val="BalloonTextChar"/>
    <w:uiPriority w:val="99"/>
    <w:semiHidden/>
    <w:unhideWhenUsed/>
    <w:rsid w:val="000A6581"/>
    <w:rPr>
      <w:rFonts w:ascii="Tahoma" w:hAnsi="Tahoma" w:cs="Tahoma"/>
      <w:sz w:val="16"/>
      <w:szCs w:val="16"/>
    </w:rPr>
  </w:style>
  <w:style w:type="character" w:customStyle="1" w:styleId="BalloonTextChar">
    <w:name w:val="Balloon Text Char"/>
    <w:basedOn w:val="DefaultParagraphFont"/>
    <w:link w:val="BalloonText"/>
    <w:uiPriority w:val="99"/>
    <w:semiHidden/>
    <w:rsid w:val="000A6581"/>
    <w:rPr>
      <w:rFonts w:ascii="Tahoma" w:hAnsi="Tahoma" w:cs="Tahoma"/>
      <w:sz w:val="16"/>
      <w:szCs w:val="16"/>
    </w:rPr>
  </w:style>
  <w:style w:type="paragraph" w:styleId="Caption">
    <w:name w:val="caption"/>
    <w:basedOn w:val="Normal"/>
    <w:next w:val="Normal"/>
    <w:uiPriority w:val="35"/>
    <w:unhideWhenUsed/>
    <w:qFormat/>
    <w:rsid w:val="006B5CBA"/>
    <w:pPr>
      <w:spacing w:after="200"/>
    </w:pPr>
    <w:rPr>
      <w:b/>
      <w:bCs/>
      <w:color w:val="4F81BD" w:themeColor="accent1"/>
      <w:sz w:val="18"/>
      <w:szCs w:val="18"/>
    </w:rPr>
  </w:style>
  <w:style w:type="character" w:styleId="Hyperlink">
    <w:name w:val="Hyperlink"/>
    <w:basedOn w:val="DefaultParagraphFont"/>
    <w:uiPriority w:val="99"/>
    <w:unhideWhenUsed/>
    <w:rsid w:val="00925D0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375</Words>
  <Characters>2143</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Trace Carson</dc:creator>
  <cp:lastModifiedBy>Robert J. Compton</cp:lastModifiedBy>
  <cp:revision>4</cp:revision>
  <dcterms:created xsi:type="dcterms:W3CDTF">2014-05-11T04:05:00Z</dcterms:created>
  <dcterms:modified xsi:type="dcterms:W3CDTF">2014-05-13T01:58:00Z</dcterms:modified>
</cp:coreProperties>
</file>