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6B0" w:rsidRPr="00B006B0" w:rsidRDefault="00E41858" w:rsidP="00E4185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BIASED BRO</w:t>
      </w:r>
      <w:r w:rsidR="00BF38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NIAN MOTION IN AN</w:t>
      </w:r>
      <w:r w:rsidR="00BF38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ULAR CAPIL</w:t>
      </w:r>
      <w:r w:rsidR="00BF38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ARIES</w:t>
      </w:r>
    </w:p>
    <w:p w:rsidR="00B006B0" w:rsidRPr="00B006B0" w:rsidRDefault="00B006B0" w:rsidP="00B006B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B006B0">
        <w:rPr>
          <w:rFonts w:ascii="Times New Roman" w:eastAsia="Calibri" w:hAnsi="Times New Roman" w:cs="Times New Roman"/>
          <w:sz w:val="24"/>
          <w:szCs w:val="24"/>
        </w:rPr>
        <w:t xml:space="preserve">Abbas </w:t>
      </w:r>
      <w:proofErr w:type="spellStart"/>
      <w:r w:rsidRPr="00B006B0">
        <w:rPr>
          <w:rFonts w:ascii="Times New Roman" w:eastAsia="Calibri" w:hAnsi="Times New Roman" w:cs="Times New Roman"/>
          <w:sz w:val="24"/>
          <w:szCs w:val="24"/>
        </w:rPr>
        <w:t>Motamedilamouki</w:t>
      </w:r>
      <w:proofErr w:type="spellEnd"/>
      <w:r w:rsidRPr="00B006B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006B0">
        <w:rPr>
          <w:rFonts w:ascii="Times New Roman" w:eastAsia="Calibri" w:hAnsi="Times New Roman" w:cs="Times New Roman"/>
          <w:sz w:val="24"/>
          <w:szCs w:val="24"/>
        </w:rPr>
        <w:t>Parvin</w:t>
      </w:r>
      <w:proofErr w:type="spellEnd"/>
      <w:r w:rsidRPr="00B006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006B0">
        <w:rPr>
          <w:rFonts w:ascii="Times New Roman" w:eastAsia="Calibri" w:hAnsi="Times New Roman" w:cs="Times New Roman"/>
          <w:sz w:val="24"/>
          <w:szCs w:val="24"/>
        </w:rPr>
        <w:t>Golbayani</w:t>
      </w:r>
      <w:proofErr w:type="spellEnd"/>
      <w:r w:rsidRPr="00B006B0">
        <w:rPr>
          <w:rFonts w:ascii="Times New Roman" w:eastAsia="Calibri" w:hAnsi="Times New Roman" w:cs="Times New Roman"/>
          <w:sz w:val="24"/>
          <w:szCs w:val="24"/>
        </w:rPr>
        <w:t>, J. Robby Sanders and Pedro E. Arce</w:t>
      </w:r>
      <w:r w:rsidRPr="00B006B0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 w:rsidRPr="00B006B0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B006B0" w:rsidRPr="00B006B0" w:rsidRDefault="00B006B0" w:rsidP="00B006B0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006B0" w:rsidRPr="00B006B0" w:rsidRDefault="00B006B0" w:rsidP="00B006B0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006B0">
        <w:rPr>
          <w:rFonts w:ascii="Times New Roman" w:eastAsia="Calibri" w:hAnsi="Times New Roman" w:cs="Times New Roman"/>
          <w:sz w:val="20"/>
          <w:szCs w:val="20"/>
        </w:rPr>
        <w:t>Department of Chemical Engineering, Tennessee Technological University, Cookeville, TN 38505.</w:t>
      </w:r>
    </w:p>
    <w:p w:rsidR="00B006B0" w:rsidRPr="00B006B0" w:rsidRDefault="00B006B0" w:rsidP="00B006B0">
      <w:pPr>
        <w:tabs>
          <w:tab w:val="left" w:pos="90"/>
        </w:tabs>
        <w:spacing w:after="0" w:line="48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006B0" w:rsidRPr="00B006B0" w:rsidRDefault="00B006B0" w:rsidP="00B006B0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006B0">
        <w:rPr>
          <w:rFonts w:ascii="Times New Roman" w:eastAsia="Calibri" w:hAnsi="Times New Roman" w:cs="Times New Roman"/>
          <w:b/>
          <w:bCs/>
          <w:sz w:val="24"/>
          <w:szCs w:val="24"/>
        </w:rPr>
        <w:t>Abstract</w:t>
      </w:r>
    </w:p>
    <w:p w:rsidR="00B006B0" w:rsidRPr="00B006B0" w:rsidRDefault="00E41858" w:rsidP="00B006B0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Biased Brownian motion is o</w:t>
      </w:r>
      <w:r w:rsidR="00BF3805">
        <w:rPr>
          <w:rFonts w:ascii="Times New Roman" w:eastAsia="Calibri" w:hAnsi="Times New Roman" w:cs="Times New Roman"/>
          <w:sz w:val="24"/>
          <w:szCs w:val="24"/>
        </w:rPr>
        <w:t>f</w:t>
      </w:r>
      <w:r>
        <w:rPr>
          <w:rFonts w:ascii="Times New Roman" w:eastAsia="Calibri" w:hAnsi="Times New Roman" w:cs="Times New Roman"/>
          <w:sz w:val="24"/>
          <w:szCs w:val="24"/>
        </w:rPr>
        <w:t xml:space="preserve"> crucial interest in many biotechnological applications including clinical diagnostics, tissue scaffold</w:t>
      </w:r>
      <w:r w:rsidR="00BF3805">
        <w:rPr>
          <w:rFonts w:ascii="Times New Roman" w:eastAsia="Calibri" w:hAnsi="Times New Roman" w:cs="Times New Roman"/>
          <w:sz w:val="24"/>
          <w:szCs w:val="24"/>
        </w:rPr>
        <w:t>ing</w:t>
      </w:r>
      <w:r>
        <w:rPr>
          <w:rFonts w:ascii="Times New Roman" w:eastAsia="Calibri" w:hAnsi="Times New Roman" w:cs="Times New Roman"/>
          <w:sz w:val="24"/>
          <w:szCs w:val="24"/>
        </w:rPr>
        <w:t xml:space="preserve">, and drug delivery. </w:t>
      </w:r>
      <w:r w:rsidR="00B006B0" w:rsidRPr="00B006B0">
        <w:rPr>
          <w:rFonts w:ascii="Times New Roman" w:eastAsia="Calibri" w:hAnsi="Times New Roman" w:cs="Times New Roman"/>
          <w:sz w:val="24"/>
          <w:szCs w:val="24"/>
        </w:rPr>
        <w:t>In this contribution, an area averaging approach is used to derive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hydrodynamic-biased dispersion (usually known as</w:t>
      </w:r>
      <w:r w:rsidR="00B006B0" w:rsidRPr="00B006B0">
        <w:rPr>
          <w:rFonts w:ascii="Times New Roman" w:eastAsia="Calibri" w:hAnsi="Times New Roman" w:cs="Times New Roman"/>
          <w:sz w:val="24"/>
          <w:szCs w:val="24"/>
        </w:rPr>
        <w:t xml:space="preserve"> Taylor-</w:t>
      </w:r>
      <w:proofErr w:type="spellStart"/>
      <w:r w:rsidR="00B006B0" w:rsidRPr="00B006B0">
        <w:rPr>
          <w:rFonts w:ascii="Times New Roman" w:eastAsia="Calibri" w:hAnsi="Times New Roman" w:cs="Times New Roman"/>
          <w:sz w:val="24"/>
          <w:szCs w:val="24"/>
        </w:rPr>
        <w:t>Aris</w:t>
      </w:r>
      <w:proofErr w:type="spellEnd"/>
      <w:r w:rsidR="00B006B0" w:rsidRPr="00B006B0">
        <w:rPr>
          <w:rFonts w:ascii="Times New Roman" w:eastAsia="Calibri" w:hAnsi="Times New Roman" w:cs="Times New Roman"/>
          <w:sz w:val="24"/>
          <w:szCs w:val="24"/>
        </w:rPr>
        <w:t xml:space="preserve"> dispersion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B006B0" w:rsidRPr="00E418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06B0" w:rsidRPr="00B006B0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capillary. </w:t>
      </w:r>
      <w:r w:rsidR="00C37D47" w:rsidRPr="00C37D47">
        <w:rPr>
          <w:rFonts w:ascii="Times New Roman" w:eastAsia="Calibri" w:hAnsi="Times New Roman" w:cs="Times New Roman"/>
          <w:sz w:val="24"/>
          <w:szCs w:val="24"/>
        </w:rPr>
        <w:t xml:space="preserve">This study focuses on an annular system </w:t>
      </w:r>
      <w:r>
        <w:rPr>
          <w:rFonts w:ascii="Times New Roman" w:eastAsia="Calibri" w:hAnsi="Times New Roman" w:cs="Times New Roman"/>
          <w:sz w:val="24"/>
          <w:szCs w:val="24"/>
        </w:rPr>
        <w:t xml:space="preserve">typically found in porous or fibrous media within the biotechnology domain with a </w:t>
      </w:r>
      <w:r w:rsidR="00C37D47" w:rsidRPr="00C37D47">
        <w:rPr>
          <w:rFonts w:ascii="Times New Roman" w:eastAsia="Calibri" w:hAnsi="Times New Roman" w:cs="Times New Roman"/>
          <w:sz w:val="24"/>
          <w:szCs w:val="24"/>
        </w:rPr>
        <w:t xml:space="preserve">Newtonian, incompressible,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isothermal fluid </w:t>
      </w:r>
      <w:r w:rsidR="00C37D47" w:rsidRPr="00C37D47">
        <w:rPr>
          <w:rFonts w:ascii="Times New Roman" w:eastAsia="Calibri" w:hAnsi="Times New Roman" w:cs="Times New Roman"/>
          <w:sz w:val="24"/>
          <w:szCs w:val="24"/>
        </w:rPr>
        <w:t>and under steady state conditions.</w:t>
      </w:r>
      <w:r w:rsidR="00C37D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06B0" w:rsidRPr="00B006B0">
        <w:rPr>
          <w:rFonts w:ascii="Times New Roman" w:eastAsia="Calibri" w:hAnsi="Times New Roman" w:cs="Times New Roman"/>
          <w:sz w:val="24"/>
          <w:szCs w:val="24"/>
        </w:rPr>
        <w:t xml:space="preserve">The system used here has been described by the convective-diffusive transport differential model for which the spatial area-averaging approach has been applied to identify key parameters in the system without the actual solution of the species-continuity equation. </w:t>
      </w:r>
      <w:r w:rsidR="00BF3805">
        <w:rPr>
          <w:rFonts w:ascii="Times New Roman" w:eastAsia="Calibri" w:hAnsi="Times New Roman" w:cs="Times New Roman"/>
          <w:sz w:val="24"/>
          <w:szCs w:val="24"/>
        </w:rPr>
        <w:t>An e</w:t>
      </w:r>
      <w:r w:rsidR="00B006B0" w:rsidRPr="00B006B0">
        <w:rPr>
          <w:rFonts w:ascii="Times New Roman" w:eastAsia="Calibri" w:hAnsi="Times New Roman" w:cs="Times New Roman"/>
          <w:sz w:val="24"/>
          <w:szCs w:val="24"/>
        </w:rPr>
        <w:t>xplicit analytical expression is derived for the effective parameter, i.e.</w:t>
      </w:r>
      <w:r w:rsidR="00BF3805">
        <w:rPr>
          <w:rFonts w:ascii="Times New Roman" w:eastAsia="Calibri" w:hAnsi="Times New Roman" w:cs="Times New Roman"/>
          <w:sz w:val="24"/>
          <w:szCs w:val="24"/>
        </w:rPr>
        <w:t>,</w:t>
      </w:r>
      <w:r w:rsidR="00B006B0" w:rsidRPr="00B006B0">
        <w:rPr>
          <w:rFonts w:ascii="Times New Roman" w:eastAsia="Calibri" w:hAnsi="Times New Roman" w:cs="Times New Roman"/>
          <w:sz w:val="24"/>
          <w:szCs w:val="24"/>
        </w:rPr>
        <w:t xml:space="preserve"> diffusivity. This parameter plays a significant role in controlling the optimal separation time in technologies that could lead to</w:t>
      </w:r>
      <w:r>
        <w:rPr>
          <w:rFonts w:ascii="Times New Roman" w:eastAsia="Calibri" w:hAnsi="Times New Roman" w:cs="Times New Roman"/>
          <w:sz w:val="24"/>
          <w:szCs w:val="24"/>
        </w:rPr>
        <w:t>, for example</w:t>
      </w:r>
      <w:r w:rsidR="009A657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A6579" w:rsidRPr="00B006B0">
        <w:rPr>
          <w:rFonts w:ascii="Times New Roman" w:eastAsia="Calibri" w:hAnsi="Times New Roman" w:cs="Times New Roman"/>
          <w:sz w:val="24"/>
          <w:szCs w:val="24"/>
        </w:rPr>
        <w:t>the</w:t>
      </w:r>
      <w:r w:rsidR="00B006B0" w:rsidRPr="00B006B0">
        <w:rPr>
          <w:rFonts w:ascii="Times New Roman" w:eastAsia="Calibri" w:hAnsi="Times New Roman" w:cs="Times New Roman"/>
          <w:sz w:val="24"/>
          <w:szCs w:val="24"/>
        </w:rPr>
        <w:t xml:space="preserve"> improvement of present clinical diagnostics applications.</w:t>
      </w:r>
    </w:p>
    <w:p w:rsidR="00021F04" w:rsidRDefault="00021F04"/>
    <w:sectPr w:rsidR="00021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2DA" w:rsidRDefault="008332DA" w:rsidP="00B006B0">
      <w:pPr>
        <w:spacing w:after="0" w:line="240" w:lineRule="auto"/>
      </w:pPr>
      <w:r>
        <w:separator/>
      </w:r>
    </w:p>
  </w:endnote>
  <w:endnote w:type="continuationSeparator" w:id="0">
    <w:p w:rsidR="008332DA" w:rsidRDefault="008332DA" w:rsidP="00B00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2DA" w:rsidRDefault="008332DA" w:rsidP="00B006B0">
      <w:pPr>
        <w:spacing w:after="0" w:line="240" w:lineRule="auto"/>
      </w:pPr>
      <w:r>
        <w:separator/>
      </w:r>
    </w:p>
  </w:footnote>
  <w:footnote w:type="continuationSeparator" w:id="0">
    <w:p w:rsidR="008332DA" w:rsidRDefault="008332DA" w:rsidP="00B006B0">
      <w:pPr>
        <w:spacing w:after="0" w:line="240" w:lineRule="auto"/>
      </w:pPr>
      <w:r>
        <w:continuationSeparator/>
      </w:r>
    </w:p>
  </w:footnote>
  <w:footnote w:id="1">
    <w:p w:rsidR="00B006B0" w:rsidRPr="003C7C13" w:rsidRDefault="00B006B0" w:rsidP="00B006B0">
      <w:pPr>
        <w:pStyle w:val="ListParagraph1"/>
        <w:tabs>
          <w:tab w:val="left" w:pos="0"/>
          <w:tab w:val="left" w:pos="270"/>
          <w:tab w:val="center" w:pos="48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FootnoteReference"/>
          <w:rFonts w:eastAsiaTheme="minorHAnsi"/>
        </w:rPr>
        <w:footnoteRef/>
      </w:r>
      <w:r w:rsidRPr="00914B8D">
        <w:rPr>
          <w:rFonts w:ascii="Times New Roman" w:hAnsi="Times New Roman" w:cs="Times New Roman"/>
          <w:sz w:val="20"/>
          <w:szCs w:val="20"/>
        </w:rPr>
        <w:t xml:space="preserve"> </w:t>
      </w:r>
      <w:r w:rsidRPr="003C7C13">
        <w:rPr>
          <w:rFonts w:ascii="Times New Roman" w:hAnsi="Times New Roman" w:cs="Times New Roman"/>
          <w:sz w:val="20"/>
          <w:szCs w:val="20"/>
        </w:rPr>
        <w:t>Author for correspondence (</w:t>
      </w:r>
      <w:hyperlink r:id="rId1" w:history="1">
        <w:r w:rsidRPr="003C7C13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PArce@tntech.edu</w:t>
        </w:r>
      </w:hyperlink>
      <w:r w:rsidRPr="003C7C13">
        <w:rPr>
          <w:rFonts w:ascii="Times New Roman" w:hAnsi="Times New Roman" w:cs="Times New Roman"/>
          <w:sz w:val="20"/>
          <w:szCs w:val="20"/>
        </w:rPr>
        <w:t>)</w:t>
      </w:r>
    </w:p>
    <w:p w:rsidR="00B006B0" w:rsidRDefault="00B006B0" w:rsidP="00B006B0">
      <w:pPr>
        <w:pStyle w:val="FootnoteText1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6B0"/>
    <w:rsid w:val="00021F04"/>
    <w:rsid w:val="00055FEA"/>
    <w:rsid w:val="008332DA"/>
    <w:rsid w:val="00865078"/>
    <w:rsid w:val="009A6579"/>
    <w:rsid w:val="00B006B0"/>
    <w:rsid w:val="00BF3805"/>
    <w:rsid w:val="00C37D47"/>
    <w:rsid w:val="00E41858"/>
    <w:rsid w:val="00F9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C48CD3-FA7B-413E-A992-9A19295B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unhideWhenUsed/>
    <w:rsid w:val="00B006B0"/>
    <w:rPr>
      <w:vertAlign w:val="superscript"/>
    </w:rPr>
  </w:style>
  <w:style w:type="paragraph" w:customStyle="1" w:styleId="FootnoteText1">
    <w:name w:val="Footnote Text1"/>
    <w:basedOn w:val="Normal"/>
    <w:next w:val="FootnoteText"/>
    <w:link w:val="FootnoteTextChar1"/>
    <w:uiPriority w:val="99"/>
    <w:unhideWhenUsed/>
    <w:rsid w:val="00B006B0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1"/>
    <w:uiPriority w:val="99"/>
    <w:rsid w:val="00B006B0"/>
    <w:rPr>
      <w:sz w:val="20"/>
      <w:szCs w:val="20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B006B0"/>
    <w:pPr>
      <w:ind w:left="720"/>
      <w:contextualSpacing/>
    </w:pPr>
    <w:rPr>
      <w:rFonts w:eastAsia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06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06B0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00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PArce@tntec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TTU Computer Aided Engineering Network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Imerys</dc:creator>
  <cp:lastModifiedBy>Pari</cp:lastModifiedBy>
  <cp:revision>3</cp:revision>
  <dcterms:created xsi:type="dcterms:W3CDTF">2014-03-15T06:20:00Z</dcterms:created>
  <dcterms:modified xsi:type="dcterms:W3CDTF">2014-05-12T22:08:00Z</dcterms:modified>
</cp:coreProperties>
</file>