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0B5B" w:rsidRDefault="00070B5B" w:rsidP="00070B5B">
      <w:pPr>
        <w:jc w:val="center"/>
        <w:rPr>
          <w:rFonts w:ascii="Times New Roman" w:hAnsi="Times New Roman" w:cs="Times New Roman"/>
          <w:sz w:val="24"/>
          <w:szCs w:val="24"/>
        </w:rPr>
      </w:pPr>
      <w:r>
        <w:rPr>
          <w:rFonts w:ascii="Times New Roman" w:hAnsi="Times New Roman" w:cs="Times New Roman"/>
          <w:sz w:val="24"/>
          <w:szCs w:val="24"/>
        </w:rPr>
        <w:t xml:space="preserve">Abstract for </w:t>
      </w:r>
      <w:proofErr w:type="spellStart"/>
      <w:r>
        <w:rPr>
          <w:rFonts w:ascii="Times New Roman" w:hAnsi="Times New Roman" w:cs="Times New Roman"/>
          <w:sz w:val="24"/>
          <w:szCs w:val="24"/>
        </w:rPr>
        <w:t>AIChE</w:t>
      </w:r>
      <w:proofErr w:type="spellEnd"/>
      <w:r>
        <w:rPr>
          <w:rFonts w:ascii="Times New Roman" w:hAnsi="Times New Roman" w:cs="Times New Roman"/>
          <w:sz w:val="24"/>
          <w:szCs w:val="24"/>
        </w:rPr>
        <w:t xml:space="preserve"> 2014 Meeting </w:t>
      </w:r>
    </w:p>
    <w:p w:rsidR="00070B5B" w:rsidRDefault="00070B5B" w:rsidP="00070B5B">
      <w:pPr>
        <w:jc w:val="center"/>
        <w:rPr>
          <w:rFonts w:ascii="Times New Roman" w:hAnsi="Times New Roman" w:cs="Times New Roman"/>
          <w:sz w:val="24"/>
          <w:szCs w:val="24"/>
        </w:rPr>
      </w:pPr>
    </w:p>
    <w:p w:rsidR="00070B5B" w:rsidRPr="00070B5B" w:rsidRDefault="00070B5B" w:rsidP="00070B5B">
      <w:pPr>
        <w:jc w:val="center"/>
        <w:rPr>
          <w:rFonts w:ascii="Times New Roman" w:hAnsi="Times New Roman" w:cs="Times New Roman"/>
          <w:sz w:val="24"/>
          <w:szCs w:val="24"/>
        </w:rPr>
      </w:pPr>
      <w:r>
        <w:rPr>
          <w:rFonts w:ascii="Times New Roman" w:hAnsi="Times New Roman" w:cs="Times New Roman"/>
          <w:sz w:val="24"/>
          <w:szCs w:val="24"/>
        </w:rPr>
        <w:t xml:space="preserve">Title: </w:t>
      </w:r>
      <w:r w:rsidRPr="00070B5B">
        <w:rPr>
          <w:rFonts w:ascii="Times New Roman" w:hAnsi="Times New Roman" w:cs="Times New Roman"/>
          <w:sz w:val="24"/>
          <w:szCs w:val="24"/>
        </w:rPr>
        <w:t>Modeling Diffusion of Linear Hydrocarbons in Pure Silica Zeolite LTA Using Transition Path Sampling</w:t>
      </w:r>
    </w:p>
    <w:p w:rsidR="00070B5B" w:rsidRPr="00070B5B" w:rsidRDefault="00070B5B" w:rsidP="00070B5B">
      <w:pPr>
        <w:jc w:val="center"/>
        <w:rPr>
          <w:rFonts w:ascii="Times New Roman" w:hAnsi="Times New Roman" w:cs="Times New Roman"/>
          <w:sz w:val="24"/>
          <w:szCs w:val="24"/>
        </w:rPr>
      </w:pPr>
      <w:r>
        <w:rPr>
          <w:rFonts w:ascii="Times New Roman" w:hAnsi="Times New Roman" w:cs="Times New Roman"/>
          <w:sz w:val="24"/>
          <w:szCs w:val="24"/>
        </w:rPr>
        <w:t xml:space="preserve">Contributors: </w:t>
      </w:r>
      <w:r w:rsidRPr="00070B5B">
        <w:rPr>
          <w:rFonts w:ascii="Times New Roman" w:hAnsi="Times New Roman" w:cs="Times New Roman"/>
          <w:sz w:val="24"/>
          <w:szCs w:val="24"/>
        </w:rPr>
        <w:t xml:space="preserve">Salah Eddine </w:t>
      </w:r>
      <w:proofErr w:type="gramStart"/>
      <w:r w:rsidRPr="00070B5B">
        <w:rPr>
          <w:rFonts w:ascii="Times New Roman" w:hAnsi="Times New Roman" w:cs="Times New Roman"/>
          <w:sz w:val="24"/>
          <w:szCs w:val="24"/>
        </w:rPr>
        <w:t>Boulfelfel</w:t>
      </w:r>
      <w:r w:rsidRPr="00070B5B">
        <w:rPr>
          <w:rFonts w:ascii="Times New Roman" w:hAnsi="Times New Roman" w:cs="Times New Roman"/>
          <w:sz w:val="24"/>
          <w:szCs w:val="24"/>
          <w:vertAlign w:val="superscript"/>
        </w:rPr>
        <w:t>(</w:t>
      </w:r>
      <w:proofErr w:type="gramEnd"/>
      <w:r w:rsidRPr="00070B5B">
        <w:rPr>
          <w:rFonts w:ascii="Times New Roman" w:hAnsi="Times New Roman" w:cs="Times New Roman"/>
          <w:sz w:val="24"/>
          <w:szCs w:val="24"/>
          <w:vertAlign w:val="superscript"/>
        </w:rPr>
        <w:t>a)</w:t>
      </w:r>
      <w:r w:rsidRPr="00070B5B">
        <w:rPr>
          <w:rFonts w:ascii="Times New Roman" w:hAnsi="Times New Roman" w:cs="Times New Roman"/>
          <w:sz w:val="24"/>
          <w:szCs w:val="24"/>
        </w:rPr>
        <w:t xml:space="preserve">, Peter I. </w:t>
      </w:r>
      <w:proofErr w:type="spellStart"/>
      <w:r w:rsidRPr="00070B5B">
        <w:rPr>
          <w:rFonts w:ascii="Times New Roman" w:hAnsi="Times New Roman" w:cs="Times New Roman"/>
          <w:sz w:val="24"/>
          <w:szCs w:val="24"/>
        </w:rPr>
        <w:t>Ravikovitch</w:t>
      </w:r>
      <w:proofErr w:type="spellEnd"/>
      <w:r w:rsidRPr="00070B5B">
        <w:rPr>
          <w:rFonts w:ascii="Times New Roman" w:hAnsi="Times New Roman" w:cs="Times New Roman"/>
          <w:sz w:val="24"/>
          <w:szCs w:val="24"/>
          <w:vertAlign w:val="superscript"/>
        </w:rPr>
        <w:t>(b)*</w:t>
      </w:r>
      <w:r w:rsidRPr="00070B5B">
        <w:rPr>
          <w:rFonts w:ascii="Times New Roman" w:hAnsi="Times New Roman" w:cs="Times New Roman"/>
          <w:sz w:val="24"/>
          <w:szCs w:val="24"/>
        </w:rPr>
        <w:t xml:space="preserve">, and David S. </w:t>
      </w:r>
      <w:proofErr w:type="spellStart"/>
      <w:r w:rsidRPr="00070B5B">
        <w:rPr>
          <w:rFonts w:ascii="Times New Roman" w:hAnsi="Times New Roman" w:cs="Times New Roman"/>
          <w:sz w:val="24"/>
          <w:szCs w:val="24"/>
        </w:rPr>
        <w:t>Sholl</w:t>
      </w:r>
      <w:proofErr w:type="spellEnd"/>
      <w:r w:rsidRPr="00070B5B">
        <w:rPr>
          <w:rFonts w:ascii="Times New Roman" w:hAnsi="Times New Roman" w:cs="Times New Roman"/>
          <w:sz w:val="24"/>
          <w:szCs w:val="24"/>
          <w:vertAlign w:val="superscript"/>
        </w:rPr>
        <w:t>(a)**</w:t>
      </w:r>
    </w:p>
    <w:p w:rsidR="00070B5B" w:rsidRPr="00070B5B" w:rsidRDefault="00070B5B" w:rsidP="00070B5B">
      <w:pPr>
        <w:jc w:val="center"/>
        <w:rPr>
          <w:rFonts w:ascii="Times New Roman" w:hAnsi="Times New Roman" w:cs="Times New Roman"/>
          <w:sz w:val="24"/>
          <w:szCs w:val="24"/>
        </w:rPr>
      </w:pPr>
      <w:r>
        <w:rPr>
          <w:rFonts w:ascii="Times New Roman" w:hAnsi="Times New Roman" w:cs="Times New Roman"/>
          <w:sz w:val="24"/>
          <w:szCs w:val="24"/>
        </w:rPr>
        <w:t xml:space="preserve">Affiliations: </w:t>
      </w:r>
      <w:r w:rsidRPr="00070B5B">
        <w:rPr>
          <w:rFonts w:ascii="Times New Roman" w:hAnsi="Times New Roman" w:cs="Times New Roman"/>
          <w:sz w:val="24"/>
          <w:szCs w:val="24"/>
          <w:vertAlign w:val="superscript"/>
        </w:rPr>
        <w:t>(a)</w:t>
      </w:r>
      <w:r w:rsidRPr="00070B5B">
        <w:rPr>
          <w:rFonts w:ascii="Times New Roman" w:hAnsi="Times New Roman" w:cs="Times New Roman"/>
          <w:sz w:val="24"/>
          <w:szCs w:val="24"/>
        </w:rPr>
        <w:t xml:space="preserve"> Georgia Institute of Technology, School of Chemical and Biomolecular Engineering, GA 30332-0100, USA</w:t>
      </w:r>
    </w:p>
    <w:p w:rsidR="00070B5B" w:rsidRPr="00070B5B" w:rsidRDefault="00070B5B" w:rsidP="00070B5B">
      <w:pPr>
        <w:jc w:val="center"/>
        <w:rPr>
          <w:rFonts w:ascii="Times New Roman" w:hAnsi="Times New Roman" w:cs="Times New Roman"/>
          <w:sz w:val="24"/>
          <w:szCs w:val="24"/>
        </w:rPr>
      </w:pPr>
      <w:r w:rsidRPr="00070B5B">
        <w:rPr>
          <w:rFonts w:ascii="Times New Roman" w:hAnsi="Times New Roman" w:cs="Times New Roman"/>
          <w:sz w:val="24"/>
          <w:szCs w:val="24"/>
          <w:vertAlign w:val="superscript"/>
        </w:rPr>
        <w:t>(b)</w:t>
      </w:r>
      <w:r w:rsidRPr="00070B5B">
        <w:rPr>
          <w:rFonts w:ascii="Times New Roman" w:hAnsi="Times New Roman" w:cs="Times New Roman"/>
          <w:sz w:val="24"/>
          <w:szCs w:val="24"/>
        </w:rPr>
        <w:t xml:space="preserve"> ExxonMobil Research and Engineering, Corporate Strategic Research 1545 Route 22 East, Annandale, NJ 08801, USA</w:t>
      </w:r>
    </w:p>
    <w:p w:rsidR="00070B5B" w:rsidRDefault="00070B5B" w:rsidP="00070B5B">
      <w:pPr>
        <w:tabs>
          <w:tab w:val="num" w:pos="720"/>
        </w:tabs>
        <w:jc w:val="center"/>
        <w:outlineLvl w:val="0"/>
        <w:rPr>
          <w:rFonts w:ascii="Times New Roman" w:hAnsi="Times New Roman" w:cs="Times New Roman"/>
        </w:rPr>
      </w:pPr>
      <w:r>
        <w:rPr>
          <w:rFonts w:ascii="Times New Roman" w:hAnsi="Times New Roman" w:cs="Times New Roman"/>
        </w:rPr>
        <w:t>Abstract</w:t>
      </w:r>
    </w:p>
    <w:p w:rsidR="00070B5B" w:rsidRDefault="00070B5B" w:rsidP="00070B5B">
      <w:pPr>
        <w:rPr>
          <w:rFonts w:ascii="Times New Roman" w:hAnsi="Times New Roman" w:cs="Times New Roman"/>
        </w:rPr>
      </w:pPr>
      <w:r>
        <w:rPr>
          <w:rFonts w:ascii="Times New Roman" w:hAnsi="Times New Roman" w:cs="Times New Roman"/>
        </w:rPr>
        <w:t xml:space="preserve"> The diffusivities of linear hydrocarbons (CH</w:t>
      </w:r>
      <w:r w:rsidRPr="00A23B1F">
        <w:rPr>
          <w:rFonts w:ascii="Times New Roman" w:hAnsi="Times New Roman" w:cs="Times New Roman"/>
          <w:vertAlign w:val="subscript"/>
        </w:rPr>
        <w:t>4</w:t>
      </w:r>
      <w:r>
        <w:rPr>
          <w:rFonts w:ascii="Times New Roman" w:hAnsi="Times New Roman" w:cs="Times New Roman"/>
        </w:rPr>
        <w:t>, C</w:t>
      </w:r>
      <w:r w:rsidRPr="00A23B1F">
        <w:rPr>
          <w:rFonts w:ascii="Times New Roman" w:hAnsi="Times New Roman" w:cs="Times New Roman"/>
          <w:vertAlign w:val="subscript"/>
        </w:rPr>
        <w:t>2</w:t>
      </w:r>
      <w:r>
        <w:rPr>
          <w:rFonts w:ascii="Times New Roman" w:hAnsi="Times New Roman" w:cs="Times New Roman"/>
        </w:rPr>
        <w:t>H</w:t>
      </w:r>
      <w:r w:rsidRPr="00A23B1F">
        <w:rPr>
          <w:rFonts w:ascii="Times New Roman" w:hAnsi="Times New Roman" w:cs="Times New Roman"/>
          <w:vertAlign w:val="subscript"/>
        </w:rPr>
        <w:t>6</w:t>
      </w:r>
      <w:r>
        <w:rPr>
          <w:rFonts w:ascii="Times New Roman" w:hAnsi="Times New Roman" w:cs="Times New Roman"/>
        </w:rPr>
        <w:t>, C</w:t>
      </w:r>
      <w:r w:rsidRPr="00A23B1F">
        <w:rPr>
          <w:rFonts w:ascii="Times New Roman" w:hAnsi="Times New Roman" w:cs="Times New Roman"/>
          <w:vertAlign w:val="subscript"/>
        </w:rPr>
        <w:t>3</w:t>
      </w:r>
      <w:r>
        <w:rPr>
          <w:rFonts w:ascii="Times New Roman" w:hAnsi="Times New Roman" w:cs="Times New Roman"/>
        </w:rPr>
        <w:t>H</w:t>
      </w:r>
      <w:r w:rsidRPr="00A23B1F">
        <w:rPr>
          <w:rFonts w:ascii="Times New Roman" w:hAnsi="Times New Roman" w:cs="Times New Roman"/>
          <w:vertAlign w:val="subscript"/>
        </w:rPr>
        <w:t>8</w:t>
      </w:r>
      <w:r>
        <w:rPr>
          <w:rFonts w:ascii="Times New Roman" w:hAnsi="Times New Roman" w:cs="Times New Roman"/>
        </w:rPr>
        <w:t>, and C</w:t>
      </w:r>
      <w:r w:rsidRPr="00A23B1F">
        <w:rPr>
          <w:rFonts w:ascii="Times New Roman" w:hAnsi="Times New Roman" w:cs="Times New Roman"/>
          <w:vertAlign w:val="subscript"/>
        </w:rPr>
        <w:t>4</w:t>
      </w:r>
      <w:r>
        <w:rPr>
          <w:rFonts w:ascii="Times New Roman" w:hAnsi="Times New Roman" w:cs="Times New Roman"/>
        </w:rPr>
        <w:t>H</w:t>
      </w:r>
      <w:r w:rsidRPr="00A23B1F">
        <w:rPr>
          <w:rFonts w:ascii="Times New Roman" w:hAnsi="Times New Roman" w:cs="Times New Roman"/>
          <w:vertAlign w:val="subscript"/>
        </w:rPr>
        <w:t>10</w:t>
      </w:r>
      <w:r w:rsidRPr="00D86856">
        <w:rPr>
          <w:rFonts w:ascii="Times New Roman" w:hAnsi="Times New Roman" w:cs="Times New Roman"/>
        </w:rPr>
        <w:t>)</w:t>
      </w:r>
      <w:r>
        <w:rPr>
          <w:rFonts w:ascii="Times New Roman" w:hAnsi="Times New Roman" w:cs="Times New Roman"/>
        </w:rPr>
        <w:t xml:space="preserve"> in pure silica zeolite LTA (ITQ-29) are computed at 300 K and infinite dilution. To overcome the time scale problem arising from the slow diffusion process at room temperature we used transition path sampling (TPS). The influence of framework flexibility on diffusion is investigated by combining TPS simulations with fully flexible molecular dynamics performed in the </w:t>
      </w:r>
      <w:proofErr w:type="spellStart"/>
      <w:r>
        <w:rPr>
          <w:rFonts w:ascii="Times New Roman" w:hAnsi="Times New Roman" w:cs="Times New Roman"/>
        </w:rPr>
        <w:t>NpT</w:t>
      </w:r>
      <w:proofErr w:type="spellEnd"/>
      <w:r>
        <w:rPr>
          <w:rFonts w:ascii="Times New Roman" w:hAnsi="Times New Roman" w:cs="Times New Roman"/>
        </w:rPr>
        <w:t xml:space="preserve"> ensemble. The ensemble of the collected reactive trajectories was used to characterize sets of transition states and the corresponding configurations were analyzed to construct window size distributions during the molecular hopping events. The diffusion process is affected by framework flexibility. The influence of framework flexibility on diffusion of propane and butane is much larger than for methane and ethane. </w:t>
      </w:r>
      <w:bookmarkStart w:id="0" w:name="_GoBack"/>
      <w:r w:rsidR="0061642D">
        <w:rPr>
          <w:rFonts w:ascii="Times New Roman" w:hAnsi="Times New Roman" w:cs="Times New Roman"/>
        </w:rPr>
        <w:t xml:space="preserve">We will also demonstrate the extension of TPS to </w:t>
      </w:r>
      <w:proofErr w:type="spellStart"/>
      <w:r w:rsidR="0061642D">
        <w:rPr>
          <w:rFonts w:ascii="Times New Roman" w:hAnsi="Times New Roman" w:cs="Times New Roman"/>
        </w:rPr>
        <w:t>adsorbates</w:t>
      </w:r>
      <w:proofErr w:type="spellEnd"/>
      <w:r w:rsidR="0061642D">
        <w:rPr>
          <w:rFonts w:ascii="Times New Roman" w:hAnsi="Times New Roman" w:cs="Times New Roman"/>
        </w:rPr>
        <w:t xml:space="preserve"> at non-zero loadings and adsorbed mixtures. </w:t>
      </w:r>
      <w:bookmarkEnd w:id="0"/>
    </w:p>
    <w:p w:rsidR="002C1734" w:rsidRDefault="002C1734"/>
    <w:sectPr w:rsidR="002C1734" w:rsidSect="004356A9">
      <w:pgSz w:w="11900" w:h="16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0B5B"/>
    <w:rsid w:val="00070B5B"/>
    <w:rsid w:val="002C1734"/>
    <w:rsid w:val="00432E3B"/>
    <w:rsid w:val="004356A9"/>
    <w:rsid w:val="0061642D"/>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0B5B"/>
    <w:pPr>
      <w:spacing w:after="200" w:line="360" w:lineRule="auto"/>
      <w:ind w:left="144" w:hanging="144"/>
      <w:jc w:val="both"/>
    </w:pPr>
    <w:rPr>
      <w:sz w:val="22"/>
      <w:szCs w:val="22"/>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0B5B"/>
    <w:pPr>
      <w:spacing w:after="200" w:line="360" w:lineRule="auto"/>
      <w:ind w:left="144" w:hanging="144"/>
      <w:jc w:val="both"/>
    </w:pPr>
    <w:rPr>
      <w:sz w:val="22"/>
      <w:szCs w:val="22"/>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275</TotalTime>
  <Pages>1</Pages>
  <Words>215</Words>
  <Characters>1229</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Salah Eddine Boulfelfel</dc:creator>
  <cp:keywords/>
  <dc:description/>
  <cp:lastModifiedBy>School of Chemical &amp; Biomolecular Engineering</cp:lastModifiedBy>
  <cp:revision>2</cp:revision>
  <dcterms:created xsi:type="dcterms:W3CDTF">2014-04-11T02:54:00Z</dcterms:created>
  <dcterms:modified xsi:type="dcterms:W3CDTF">2014-04-15T19:59:00Z</dcterms:modified>
</cp:coreProperties>
</file>