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4CBD54" w14:textId="72C3102E" w:rsidR="009D6E90" w:rsidRPr="00A2093F" w:rsidRDefault="00A2093F" w:rsidP="009D6E90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b/>
          <w:i/>
          <w:sz w:val="32"/>
          <w:szCs w:val="24"/>
          <w:u w:val="single"/>
        </w:rPr>
      </w:pPr>
      <w:bookmarkStart w:id="0" w:name="_GoBack"/>
      <w:bookmarkEnd w:id="0"/>
      <w:r w:rsidRPr="00A2093F">
        <w:rPr>
          <w:rFonts w:eastAsia="Times New Roman" w:cs="Times New Roman"/>
          <w:b/>
          <w:sz w:val="28"/>
        </w:rPr>
        <w:t>Lead Chalcogenide Quantum Dot Arrays for Next Generation Photovoltaics</w:t>
      </w:r>
    </w:p>
    <w:p w14:paraId="622D25FD" w14:textId="77777777" w:rsidR="00823C25" w:rsidRDefault="00823C25" w:rsidP="00EB3B8A">
      <w:pPr>
        <w:pStyle w:val="ListParagraph"/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67C6577F" w14:textId="79174155" w:rsidR="009D6E90" w:rsidRPr="00EB3B8A" w:rsidRDefault="00A2093F" w:rsidP="00EB3B8A">
      <w:pPr>
        <w:pStyle w:val="ListParagraph"/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823C25">
        <w:rPr>
          <w:rFonts w:ascii="Times New Roman" w:hAnsi="Times New Roman" w:cs="Times New Roman"/>
          <w:i/>
          <w:sz w:val="24"/>
          <w:szCs w:val="24"/>
        </w:rPr>
        <w:t xml:space="preserve">Rachelle Ihly, </w:t>
      </w:r>
      <w:r w:rsidR="00823C25" w:rsidRPr="00823C25">
        <w:rPr>
          <w:rFonts w:ascii="Times New Roman" w:hAnsi="Times New Roman" w:cs="Times New Roman"/>
          <w:i/>
          <w:sz w:val="24"/>
          <w:szCs w:val="24"/>
        </w:rPr>
        <w:t>Sanjini Nanayakkara, Ashley Marshall, Jianbo Gao, Jianbing Zhang,</w:t>
      </w:r>
      <w:r w:rsidR="00823C25">
        <w:rPr>
          <w:rFonts w:ascii="Times New Roman" w:hAnsi="Times New Roman" w:cs="Times New Roman"/>
          <w:i/>
          <w:sz w:val="24"/>
          <w:szCs w:val="24"/>
        </w:rPr>
        <w:t xml:space="preserve"> Ryan Crisp,</w:t>
      </w:r>
      <w:r w:rsidR="00823C25" w:rsidRPr="00823C25">
        <w:rPr>
          <w:rFonts w:ascii="Times New Roman" w:hAnsi="Times New Roman" w:cs="Times New Roman"/>
          <w:i/>
          <w:sz w:val="24"/>
          <w:szCs w:val="24"/>
        </w:rPr>
        <w:t xml:space="preserve"> Matthew Beard,</w:t>
      </w:r>
      <w:r w:rsidR="00823C25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EB3B8A">
        <w:rPr>
          <w:rFonts w:ascii="Times New Roman" w:hAnsi="Times New Roman" w:cs="Times New Roman"/>
          <w:i/>
          <w:sz w:val="24"/>
          <w:szCs w:val="24"/>
          <w:u w:val="single"/>
        </w:rPr>
        <w:t>Joseph M. Luther</w:t>
      </w:r>
    </w:p>
    <w:p w14:paraId="3E759418" w14:textId="77777777" w:rsidR="00EB3B8A" w:rsidRDefault="00EB3B8A" w:rsidP="00EB3B8A">
      <w:pPr>
        <w:pStyle w:val="ListParagraph"/>
        <w:spacing w:after="0" w:line="240" w:lineRule="auto"/>
        <w:ind w:left="450"/>
        <w:rPr>
          <w:rFonts w:ascii="Times New Roman" w:hAnsi="Times New Roman" w:cs="Times New Roman"/>
          <w:i/>
          <w:sz w:val="20"/>
          <w:szCs w:val="24"/>
          <w:vertAlign w:val="superscript"/>
        </w:rPr>
      </w:pPr>
    </w:p>
    <w:p w14:paraId="56114E95" w14:textId="1028E99D" w:rsidR="009D6E90" w:rsidRDefault="009D6E90" w:rsidP="00EB3B8A">
      <w:pPr>
        <w:pStyle w:val="ListParagraph"/>
        <w:spacing w:after="0" w:line="240" w:lineRule="auto"/>
        <w:ind w:left="450"/>
        <w:rPr>
          <w:rFonts w:ascii="Times New Roman" w:hAnsi="Times New Roman" w:cs="Times New Roman"/>
          <w:i/>
          <w:sz w:val="20"/>
          <w:szCs w:val="24"/>
        </w:rPr>
      </w:pPr>
      <w:r w:rsidRPr="00003FC5">
        <w:rPr>
          <w:rFonts w:ascii="Times New Roman" w:hAnsi="Times New Roman" w:cs="Times New Roman"/>
          <w:i/>
          <w:sz w:val="20"/>
          <w:szCs w:val="24"/>
        </w:rPr>
        <w:t>National Renewable Energy Laboratory</w:t>
      </w:r>
      <w:r w:rsidR="00EB3B8A">
        <w:rPr>
          <w:rFonts w:ascii="Times New Roman" w:hAnsi="Times New Roman" w:cs="Times New Roman"/>
          <w:i/>
          <w:sz w:val="20"/>
          <w:szCs w:val="24"/>
        </w:rPr>
        <w:t xml:space="preserve">, </w:t>
      </w:r>
      <w:r w:rsidRPr="00003FC5">
        <w:rPr>
          <w:rFonts w:ascii="Times New Roman" w:hAnsi="Times New Roman" w:cs="Times New Roman"/>
          <w:i/>
          <w:sz w:val="20"/>
          <w:szCs w:val="24"/>
        </w:rPr>
        <w:t>Golden, CO, USA</w:t>
      </w:r>
    </w:p>
    <w:p w14:paraId="79BBDD58" w14:textId="77777777" w:rsidR="00B164AC" w:rsidRPr="00B164AC" w:rsidRDefault="00B164AC" w:rsidP="00B164AC">
      <w:pPr>
        <w:pStyle w:val="ListParagraph"/>
        <w:spacing w:after="0" w:line="48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007393" w14:textId="1A5309CD" w:rsidR="00B164AC" w:rsidRPr="00823C25" w:rsidRDefault="00165678" w:rsidP="00454A18">
      <w:pPr>
        <w:pStyle w:val="ListParagraph"/>
        <w:spacing w:after="0" w:line="360" w:lineRule="auto"/>
        <w:ind w:left="0" w:firstLine="720"/>
        <w:jc w:val="both"/>
      </w:pPr>
      <w:r>
        <w:rPr>
          <w:rFonts w:ascii="Times New Roman" w:hAnsi="Times New Roman" w:cs="Times New Roman"/>
          <w:sz w:val="24"/>
          <w:szCs w:val="24"/>
        </w:rPr>
        <w:t>Photovoltaic</w:t>
      </w:r>
      <w:r w:rsidR="00823C25" w:rsidRPr="00823C25">
        <w:t xml:space="preserve"> devices with conductive fi</w:t>
      </w:r>
      <w:r>
        <w:t>lms of colloidally synthesized PbSe quantum dots (QD</w:t>
      </w:r>
      <w:r w:rsidR="00823C25" w:rsidRPr="00823C25">
        <w:t xml:space="preserve">s) possess external quantum efficiencies in the blue region of the solar spectrum greater than 100% due to </w:t>
      </w:r>
      <w:r>
        <w:t>multiple exciton generation (MEG</w:t>
      </w:r>
      <w:r w:rsidR="00823C25" w:rsidRPr="00823C25">
        <w:t>) (where a high-energy photon can produce m</w:t>
      </w:r>
      <w:r>
        <w:t>ultiple electron-hole pairs)</w:t>
      </w:r>
      <w:r w:rsidR="00823C25" w:rsidRPr="00823C25">
        <w:t>. This greatly motivates continued research on this type of solar cell that has the potential to achieve &gt;40%</w:t>
      </w:r>
      <w:r>
        <w:t xml:space="preserve"> power conversion efficiency</w:t>
      </w:r>
      <w:r w:rsidR="00823C25" w:rsidRPr="00823C25">
        <w:t>. The state-of-the-art (highest overall efficiency) optimized st</w:t>
      </w:r>
      <w:r>
        <w:t>ructure for lead chalcogenide QD</w:t>
      </w:r>
      <w:r w:rsidR="00823C25" w:rsidRPr="00823C25">
        <w:t xml:space="preserve"> solar cells uses a variety of interfacial layers that play an important role in the device functiona</w:t>
      </w:r>
      <w:r>
        <w:t>lity. The p-n heterojunction</w:t>
      </w:r>
      <w:r w:rsidR="00823C25" w:rsidRPr="00823C25">
        <w:t xml:space="preserve"> model is often used</w:t>
      </w:r>
      <w:r>
        <w:t xml:space="preserve"> to describe the operation of QD</w:t>
      </w:r>
      <w:r w:rsidR="00823C25" w:rsidRPr="00823C25">
        <w:t xml:space="preserve"> solar cells despite the complex electronic struc</w:t>
      </w:r>
      <w:r>
        <w:t>ture of a disordered array of QD</w:t>
      </w:r>
      <w:r w:rsidR="00823C25" w:rsidRPr="00823C25">
        <w:t>s acting as a macroscopic thin-film semiconductor (4). Advancements in device efficiency could follow better understanding of energetics along interfaces, throughout coupled films, and within individual nanostructur</w:t>
      </w:r>
      <w:r>
        <w:t>es. Atomic force microscopy (AFM</w:t>
      </w:r>
      <w:r w:rsidR="00823C25" w:rsidRPr="00823C25">
        <w:t>) techniques offer exceptional spatial resolution that can resolve such properties within devices and individual structures. Scanni</w:t>
      </w:r>
      <w:r>
        <w:t>ng kelvin probe microscopy (SKPM</w:t>
      </w:r>
      <w:r w:rsidR="00823C25" w:rsidRPr="00823C25">
        <w:t>) is one such technique that can accomplish these goals. We have correlated the contact potential dif</w:t>
      </w:r>
      <w:r>
        <w:t>ference between a conductive AFM</w:t>
      </w:r>
      <w:r w:rsidR="00823C25" w:rsidRPr="00823C25">
        <w:t xml:space="preserve"> tip and the layers </w:t>
      </w:r>
      <w:r>
        <w:t>within an operating colloidal QD</w:t>
      </w:r>
      <w:r w:rsidR="00823C25" w:rsidRPr="00823C25">
        <w:t xml:space="preserve"> solar cell with device cross-section exposed. </w:t>
      </w:r>
      <w:r w:rsidR="00B164AC" w:rsidRPr="00823C25">
        <w:t xml:space="preserve"> Utilizing scanning Kelvin probe microscopy (SKPM), we have </w:t>
      </w:r>
      <w:r w:rsidR="0033703D" w:rsidRPr="00823C25">
        <w:t xml:space="preserve">correlated the </w:t>
      </w:r>
      <w:r w:rsidR="00B164AC" w:rsidRPr="00823C25">
        <w:t xml:space="preserve">contact potential difference between a conductive AFM tip and </w:t>
      </w:r>
      <w:r>
        <w:t>the layers within an operating QD solar cell</w:t>
      </w:r>
      <w:r w:rsidR="00B164AC" w:rsidRPr="00823C25">
        <w:t xml:space="preserve"> cross-section</w:t>
      </w:r>
      <w:r w:rsidR="0033703D" w:rsidRPr="00823C25">
        <w:t xml:space="preserve"> to effectively map the potential throughout the device as a function of bias applied to the electrodes</w:t>
      </w:r>
      <w:r w:rsidR="00B164AC" w:rsidRPr="00823C25">
        <w:t xml:space="preserve">. </w:t>
      </w:r>
      <w:r w:rsidR="0033703D" w:rsidRPr="00823C25">
        <w:t xml:space="preserve">This allows us to </w:t>
      </w:r>
      <w:r w:rsidR="00B164AC" w:rsidRPr="00823C25">
        <w:t>directly visualize regions of l</w:t>
      </w:r>
      <w:r w:rsidR="00454A18" w:rsidRPr="00823C25">
        <w:t>ocalized band bending and space</w:t>
      </w:r>
      <w:r w:rsidR="00B54865" w:rsidRPr="00823C25">
        <w:t xml:space="preserve"> </w:t>
      </w:r>
      <w:r w:rsidR="00B164AC" w:rsidRPr="00823C25">
        <w:t>charge</w:t>
      </w:r>
      <w:r w:rsidR="00823C25" w:rsidRPr="00823C25">
        <w:t xml:space="preserve"> and to help understand the operational mechanism behind such device architectures.</w:t>
      </w:r>
    </w:p>
    <w:p w14:paraId="7A5E98D7" w14:textId="77777777" w:rsidR="00F27931" w:rsidRDefault="00F27931"/>
    <w:sectPr w:rsidR="00F27931" w:rsidSect="00154451">
      <w:footerReference w:type="even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9DCA12" w14:textId="77777777" w:rsidR="00B10DD3" w:rsidRDefault="00B10DD3">
      <w:r>
        <w:separator/>
      </w:r>
    </w:p>
  </w:endnote>
  <w:endnote w:type="continuationSeparator" w:id="0">
    <w:p w14:paraId="76096649" w14:textId="77777777" w:rsidR="00B10DD3" w:rsidRDefault="00B10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1A57C5" w14:textId="77777777" w:rsidR="00823C25" w:rsidRDefault="00823C25" w:rsidP="0033703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A5F2C2" w14:textId="77777777" w:rsidR="00823C25" w:rsidRDefault="00823C25" w:rsidP="0033703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8EBFB0" w14:textId="77777777" w:rsidR="00823C25" w:rsidRPr="008E4CA6" w:rsidRDefault="00823C25" w:rsidP="0033703D">
    <w:pPr>
      <w:pStyle w:val="Footer"/>
      <w:framePr w:wrap="around" w:vAnchor="text" w:hAnchor="margin" w:xAlign="right" w:y="1"/>
      <w:rPr>
        <w:rStyle w:val="PageNumber"/>
        <w:rFonts w:ascii="Times New Roman" w:hAnsi="Times New Roman" w:cs="Times New Roman"/>
      </w:rPr>
    </w:pPr>
    <w:r w:rsidRPr="008E4CA6">
      <w:rPr>
        <w:rStyle w:val="PageNumber"/>
        <w:rFonts w:ascii="Times New Roman" w:hAnsi="Times New Roman" w:cs="Times New Roman"/>
      </w:rPr>
      <w:fldChar w:fldCharType="begin"/>
    </w:r>
    <w:r w:rsidRPr="008E4CA6">
      <w:rPr>
        <w:rStyle w:val="PageNumber"/>
        <w:rFonts w:ascii="Times New Roman" w:hAnsi="Times New Roman" w:cs="Times New Roman"/>
      </w:rPr>
      <w:instrText xml:space="preserve">PAGE  </w:instrText>
    </w:r>
    <w:r w:rsidRPr="008E4CA6">
      <w:rPr>
        <w:rStyle w:val="PageNumber"/>
        <w:rFonts w:ascii="Times New Roman" w:hAnsi="Times New Roman" w:cs="Times New Roman"/>
      </w:rPr>
      <w:fldChar w:fldCharType="separate"/>
    </w:r>
    <w:r w:rsidR="00932510">
      <w:rPr>
        <w:rStyle w:val="PageNumber"/>
        <w:rFonts w:ascii="Times New Roman" w:hAnsi="Times New Roman" w:cs="Times New Roman"/>
        <w:noProof/>
      </w:rPr>
      <w:t>1</w:t>
    </w:r>
    <w:r w:rsidRPr="008E4CA6">
      <w:rPr>
        <w:rStyle w:val="PageNumber"/>
        <w:rFonts w:ascii="Times New Roman" w:hAnsi="Times New Roman" w:cs="Times New Roman"/>
      </w:rPr>
      <w:fldChar w:fldCharType="end"/>
    </w:r>
  </w:p>
  <w:p w14:paraId="735C6AF2" w14:textId="77777777" w:rsidR="00823C25" w:rsidRDefault="00823C25" w:rsidP="0033703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8EAB15" w14:textId="77777777" w:rsidR="00B10DD3" w:rsidRDefault="00B10DD3">
      <w:r>
        <w:separator/>
      </w:r>
    </w:p>
  </w:footnote>
  <w:footnote w:type="continuationSeparator" w:id="0">
    <w:p w14:paraId="404482B7" w14:textId="77777777" w:rsidR="00B10DD3" w:rsidRDefault="00B10D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4AC"/>
    <w:rsid w:val="00003FC5"/>
    <w:rsid w:val="000B2BE4"/>
    <w:rsid w:val="00154451"/>
    <w:rsid w:val="00155C36"/>
    <w:rsid w:val="00165678"/>
    <w:rsid w:val="00316AB9"/>
    <w:rsid w:val="0033703D"/>
    <w:rsid w:val="0040475D"/>
    <w:rsid w:val="004153D5"/>
    <w:rsid w:val="00454A18"/>
    <w:rsid w:val="0045521A"/>
    <w:rsid w:val="005A614B"/>
    <w:rsid w:val="005E3607"/>
    <w:rsid w:val="00615D16"/>
    <w:rsid w:val="00636F29"/>
    <w:rsid w:val="00823C25"/>
    <w:rsid w:val="00932510"/>
    <w:rsid w:val="00937FDA"/>
    <w:rsid w:val="00961E69"/>
    <w:rsid w:val="009A19A9"/>
    <w:rsid w:val="009D6E90"/>
    <w:rsid w:val="009E572C"/>
    <w:rsid w:val="00A2093F"/>
    <w:rsid w:val="00A53C9F"/>
    <w:rsid w:val="00B10DD3"/>
    <w:rsid w:val="00B164AC"/>
    <w:rsid w:val="00B54865"/>
    <w:rsid w:val="00C47B0E"/>
    <w:rsid w:val="00CB5987"/>
    <w:rsid w:val="00D5206C"/>
    <w:rsid w:val="00D93CB6"/>
    <w:rsid w:val="00EB3B8A"/>
    <w:rsid w:val="00F27931"/>
    <w:rsid w:val="00FB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DB53A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4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64AC"/>
    <w:pPr>
      <w:spacing w:after="200" w:line="276" w:lineRule="auto"/>
      <w:ind w:left="720"/>
      <w:contextualSpacing/>
    </w:pPr>
    <w:rPr>
      <w:sz w:val="22"/>
      <w:szCs w:val="22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B164A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64AC"/>
  </w:style>
  <w:style w:type="character" w:styleId="PageNumber">
    <w:name w:val="page number"/>
    <w:basedOn w:val="DefaultParagraphFont"/>
    <w:uiPriority w:val="99"/>
    <w:semiHidden/>
    <w:unhideWhenUsed/>
    <w:rsid w:val="00B164AC"/>
  </w:style>
  <w:style w:type="paragraph" w:styleId="BalloonText">
    <w:name w:val="Balloon Text"/>
    <w:basedOn w:val="Normal"/>
    <w:link w:val="BalloonTextChar"/>
    <w:uiPriority w:val="99"/>
    <w:semiHidden/>
    <w:unhideWhenUsed/>
    <w:rsid w:val="0033703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03D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3703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703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703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703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703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4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64AC"/>
    <w:pPr>
      <w:spacing w:after="200" w:line="276" w:lineRule="auto"/>
      <w:ind w:left="720"/>
      <w:contextualSpacing/>
    </w:pPr>
    <w:rPr>
      <w:sz w:val="22"/>
      <w:szCs w:val="22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B164A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64AC"/>
  </w:style>
  <w:style w:type="character" w:styleId="PageNumber">
    <w:name w:val="page number"/>
    <w:basedOn w:val="DefaultParagraphFont"/>
    <w:uiPriority w:val="99"/>
    <w:semiHidden/>
    <w:unhideWhenUsed/>
    <w:rsid w:val="00B164AC"/>
  </w:style>
  <w:style w:type="paragraph" w:styleId="BalloonText">
    <w:name w:val="Balloon Text"/>
    <w:basedOn w:val="Normal"/>
    <w:link w:val="BalloonTextChar"/>
    <w:uiPriority w:val="99"/>
    <w:semiHidden/>
    <w:unhideWhenUsed/>
    <w:rsid w:val="0033703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03D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3703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703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703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703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703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mgp</cp:lastModifiedBy>
  <cp:revision>2</cp:revision>
  <dcterms:created xsi:type="dcterms:W3CDTF">2014-06-04T20:55:00Z</dcterms:created>
  <dcterms:modified xsi:type="dcterms:W3CDTF">2014-06-04T20:55:00Z</dcterms:modified>
</cp:coreProperties>
</file>