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BA5" w:rsidRPr="00690BA5" w:rsidRDefault="004F0BA5" w:rsidP="004F0BA5">
      <w:pPr>
        <w:pStyle w:val="1Einleit"/>
        <w:spacing w:before="180" w:after="120"/>
        <w:jc w:val="center"/>
        <w:rPr>
          <w:rFonts w:ascii="Arial" w:hAnsi="Arial" w:cs="Arial"/>
        </w:rPr>
      </w:pPr>
      <w:bookmarkStart w:id="0" w:name="_GoBack"/>
      <w:bookmarkEnd w:id="0"/>
      <w:r w:rsidRPr="00690BA5">
        <w:rPr>
          <w:rFonts w:ascii="Arial" w:hAnsi="Arial" w:cs="Arial"/>
        </w:rPr>
        <w:t>The Physical Chemistry Nature of Hydrogen Sulfide Gas as it Affects Sulfide Stress Crack Propagation in Steel</w:t>
      </w:r>
    </w:p>
    <w:p w:rsidR="00A606E9" w:rsidRPr="00A606E9" w:rsidRDefault="00A606E9" w:rsidP="00A606E9">
      <w:pPr>
        <w:pStyle w:val="Heading3"/>
        <w:jc w:val="center"/>
        <w:rPr>
          <w:rFonts w:ascii="Times New Roman" w:hAnsi="Times New Roman" w:cs="Times New Roman"/>
          <w:sz w:val="24"/>
          <w:szCs w:val="24"/>
        </w:rPr>
      </w:pPr>
    </w:p>
    <w:p w:rsidR="00A606E9" w:rsidRDefault="00A606E9" w:rsidP="00A606E9"/>
    <w:p w:rsidR="00A606E9" w:rsidRPr="001D4B82" w:rsidRDefault="00A606E9" w:rsidP="00A606E9">
      <w:pPr>
        <w:rPr>
          <w:rFonts w:ascii="Arial" w:hAnsi="Arial" w:cs="Arial"/>
          <w:sz w:val="22"/>
          <w:szCs w:val="22"/>
        </w:rPr>
        <w:sectPr w:rsidR="00A606E9" w:rsidRPr="001D4B82" w:rsidSect="009F701B">
          <w:footerReference w:type="even" r:id="rId9"/>
          <w:footerReference w:type="default" r:id="rId10"/>
          <w:pgSz w:w="12240" w:h="15840"/>
          <w:pgMar w:top="3600" w:right="1080" w:bottom="1440" w:left="1080" w:header="720" w:footer="720" w:gutter="0"/>
          <w:cols w:space="720"/>
          <w:docGrid w:linePitch="360"/>
        </w:sectPr>
      </w:pPr>
    </w:p>
    <w:p w:rsidR="009F701B" w:rsidRPr="001D4B82" w:rsidRDefault="009F701B" w:rsidP="009F701B">
      <w:pPr>
        <w:rPr>
          <w:rFonts w:ascii="Arial" w:hAnsi="Arial" w:cs="Arial"/>
          <w:sz w:val="22"/>
          <w:szCs w:val="22"/>
        </w:rPr>
      </w:pPr>
    </w:p>
    <w:p w:rsidR="009F701B" w:rsidRPr="001D4B82" w:rsidRDefault="009F701B" w:rsidP="009F701B">
      <w:pPr>
        <w:rPr>
          <w:rFonts w:ascii="Arial" w:hAnsi="Arial" w:cs="Arial"/>
          <w:sz w:val="22"/>
          <w:szCs w:val="22"/>
        </w:rPr>
        <w:sectPr w:rsidR="009F701B" w:rsidRPr="001D4B82" w:rsidSect="009F701B">
          <w:type w:val="continuous"/>
          <w:pgSz w:w="12240" w:h="15840"/>
          <w:pgMar w:top="3600" w:right="1080" w:bottom="1440" w:left="1080" w:header="720" w:footer="720" w:gutter="0"/>
          <w:cols w:space="720"/>
          <w:docGrid w:linePitch="360"/>
        </w:sectPr>
      </w:pPr>
    </w:p>
    <w:p w:rsidR="00B434C1" w:rsidRPr="00F87B7B" w:rsidRDefault="0015091C" w:rsidP="00B434C1">
      <w:pPr>
        <w:jc w:val="center"/>
        <w:rPr>
          <w:rFonts w:ascii="Arial" w:hAnsi="Arial" w:cs="Arial"/>
          <w:sz w:val="22"/>
          <w:szCs w:val="22"/>
        </w:rPr>
      </w:pPr>
      <w:r>
        <w:rPr>
          <w:rFonts w:ascii="Arial" w:hAnsi="Arial" w:cs="Arial"/>
          <w:sz w:val="22"/>
          <w:szCs w:val="22"/>
        </w:rPr>
        <w:lastRenderedPageBreak/>
        <w:t>W.D. Grimes</w:t>
      </w:r>
    </w:p>
    <w:p w:rsidR="00B434C1" w:rsidRPr="00F87B7B" w:rsidRDefault="00986260" w:rsidP="00B434C1">
      <w:pPr>
        <w:jc w:val="center"/>
        <w:rPr>
          <w:rFonts w:ascii="Arial" w:hAnsi="Arial" w:cs="Arial"/>
          <w:sz w:val="22"/>
          <w:szCs w:val="22"/>
        </w:rPr>
      </w:pPr>
      <w:r w:rsidRPr="00986260">
        <w:rPr>
          <w:rFonts w:ascii="Arial" w:hAnsi="Arial" w:cs="Arial"/>
          <w:sz w:val="22"/>
          <w:szCs w:val="22"/>
        </w:rPr>
        <w:t>Shell Global Solutions International</w:t>
      </w:r>
    </w:p>
    <w:p w:rsidR="00B434C1" w:rsidRPr="00845679" w:rsidRDefault="00ED2B2F" w:rsidP="00B434C1">
      <w:pPr>
        <w:jc w:val="center"/>
        <w:rPr>
          <w:rFonts w:ascii="Arial" w:hAnsi="Arial" w:cs="Arial"/>
          <w:sz w:val="22"/>
          <w:szCs w:val="22"/>
        </w:rPr>
      </w:pPr>
      <w:r w:rsidRPr="00ED2B2F">
        <w:rPr>
          <w:rFonts w:ascii="Arial" w:hAnsi="Arial" w:cs="Arial"/>
          <w:sz w:val="22"/>
          <w:szCs w:val="22"/>
        </w:rPr>
        <w:t>Grasweg 31</w:t>
      </w:r>
    </w:p>
    <w:p w:rsidR="00B434C1" w:rsidRPr="00F87B7B" w:rsidRDefault="00ED2B2F" w:rsidP="00B434C1">
      <w:pPr>
        <w:jc w:val="center"/>
        <w:rPr>
          <w:rFonts w:ascii="Arial" w:hAnsi="Arial" w:cs="Arial"/>
          <w:sz w:val="22"/>
          <w:szCs w:val="22"/>
        </w:rPr>
      </w:pPr>
      <w:r>
        <w:rPr>
          <w:rFonts w:ascii="Arial" w:hAnsi="Arial" w:cs="Arial"/>
          <w:sz w:val="22"/>
          <w:szCs w:val="22"/>
        </w:rPr>
        <w:t xml:space="preserve">Amsterdam, </w:t>
      </w:r>
      <w:r w:rsidRPr="00ED2B2F">
        <w:rPr>
          <w:rFonts w:ascii="Arial" w:hAnsi="Arial" w:cs="Arial"/>
          <w:sz w:val="22"/>
          <w:szCs w:val="22"/>
        </w:rPr>
        <w:t>1031 HW</w:t>
      </w:r>
    </w:p>
    <w:p w:rsidR="00B434C1" w:rsidRPr="00F87B7B" w:rsidRDefault="00ED2B2F" w:rsidP="00B434C1">
      <w:pPr>
        <w:jc w:val="center"/>
        <w:rPr>
          <w:rFonts w:ascii="Arial" w:hAnsi="Arial" w:cs="Arial"/>
          <w:sz w:val="22"/>
          <w:szCs w:val="22"/>
        </w:rPr>
      </w:pPr>
      <w:r>
        <w:rPr>
          <w:rFonts w:ascii="Arial" w:hAnsi="Arial" w:cs="Arial"/>
          <w:sz w:val="22"/>
          <w:szCs w:val="22"/>
        </w:rPr>
        <w:t>Netherlands</w:t>
      </w:r>
    </w:p>
    <w:p w:rsidR="00B434C1" w:rsidRDefault="00B434C1" w:rsidP="00B434C1">
      <w:pPr>
        <w:jc w:val="center"/>
        <w:rPr>
          <w:rFonts w:ascii="Arial" w:hAnsi="Arial" w:cs="Arial"/>
          <w:sz w:val="22"/>
          <w:szCs w:val="22"/>
        </w:rPr>
      </w:pPr>
    </w:p>
    <w:p w:rsidR="00B434C1" w:rsidRPr="00F87B7B" w:rsidRDefault="00986260" w:rsidP="00B434C1">
      <w:pPr>
        <w:jc w:val="center"/>
        <w:rPr>
          <w:rFonts w:ascii="Arial" w:hAnsi="Arial" w:cs="Arial"/>
          <w:sz w:val="22"/>
          <w:szCs w:val="22"/>
        </w:rPr>
      </w:pPr>
      <w:r>
        <w:rPr>
          <w:rFonts w:ascii="Arial" w:hAnsi="Arial" w:cs="Arial"/>
          <w:sz w:val="22"/>
          <w:szCs w:val="22"/>
        </w:rPr>
        <w:t>R.N. French</w:t>
      </w:r>
    </w:p>
    <w:p w:rsidR="00986260" w:rsidRPr="00F87B7B" w:rsidRDefault="00986260" w:rsidP="00986260">
      <w:pPr>
        <w:jc w:val="center"/>
        <w:rPr>
          <w:rFonts w:ascii="Arial" w:hAnsi="Arial" w:cs="Arial"/>
          <w:sz w:val="22"/>
          <w:szCs w:val="22"/>
        </w:rPr>
      </w:pPr>
      <w:r>
        <w:rPr>
          <w:rFonts w:ascii="Arial" w:hAnsi="Arial" w:cs="Arial"/>
          <w:sz w:val="22"/>
          <w:szCs w:val="22"/>
        </w:rPr>
        <w:t>Shell International E&amp;P, Inc</w:t>
      </w:r>
    </w:p>
    <w:p w:rsidR="00B434C1" w:rsidRPr="00845679" w:rsidRDefault="00986260" w:rsidP="00B434C1">
      <w:pPr>
        <w:jc w:val="center"/>
        <w:rPr>
          <w:rFonts w:ascii="Arial" w:hAnsi="Arial" w:cs="Arial"/>
          <w:sz w:val="22"/>
          <w:szCs w:val="22"/>
        </w:rPr>
      </w:pPr>
      <w:r>
        <w:rPr>
          <w:rFonts w:ascii="Arial" w:hAnsi="Arial" w:cs="Arial"/>
          <w:sz w:val="22"/>
          <w:szCs w:val="22"/>
        </w:rPr>
        <w:t>3333 Hwy. 6 South</w:t>
      </w:r>
    </w:p>
    <w:p w:rsidR="00B434C1" w:rsidRPr="00F87B7B" w:rsidRDefault="00986260" w:rsidP="00B434C1">
      <w:pPr>
        <w:jc w:val="center"/>
        <w:rPr>
          <w:rFonts w:ascii="Arial" w:hAnsi="Arial" w:cs="Arial"/>
          <w:sz w:val="22"/>
          <w:szCs w:val="22"/>
        </w:rPr>
      </w:pPr>
      <w:r>
        <w:rPr>
          <w:rFonts w:ascii="Arial" w:hAnsi="Arial" w:cs="Arial"/>
          <w:sz w:val="22"/>
          <w:szCs w:val="22"/>
        </w:rPr>
        <w:t>Houston, TX 77082</w:t>
      </w:r>
    </w:p>
    <w:p w:rsidR="00B434C1" w:rsidRPr="00F87B7B" w:rsidRDefault="00986260" w:rsidP="00B434C1">
      <w:pPr>
        <w:jc w:val="center"/>
        <w:rPr>
          <w:rFonts w:ascii="Arial" w:hAnsi="Arial" w:cs="Arial"/>
          <w:sz w:val="22"/>
          <w:szCs w:val="22"/>
        </w:rPr>
      </w:pPr>
      <w:r>
        <w:rPr>
          <w:rFonts w:ascii="Arial" w:hAnsi="Arial" w:cs="Arial"/>
          <w:sz w:val="22"/>
          <w:szCs w:val="22"/>
        </w:rPr>
        <w:t>USA</w:t>
      </w:r>
    </w:p>
    <w:p w:rsidR="00980AE6" w:rsidRPr="001D4B82" w:rsidRDefault="00980AE6" w:rsidP="00980AE6">
      <w:pPr>
        <w:jc w:val="center"/>
        <w:rPr>
          <w:rFonts w:ascii="Arial" w:hAnsi="Arial" w:cs="Arial"/>
          <w:sz w:val="22"/>
          <w:szCs w:val="22"/>
        </w:rPr>
      </w:pPr>
    </w:p>
    <w:p w:rsidR="00767D1B" w:rsidRPr="001D4B82" w:rsidRDefault="00767D1B" w:rsidP="00980AE6">
      <w:pPr>
        <w:jc w:val="center"/>
        <w:rPr>
          <w:rFonts w:ascii="Arial" w:hAnsi="Arial" w:cs="Arial"/>
          <w:sz w:val="22"/>
          <w:szCs w:val="22"/>
        </w:rPr>
      </w:pPr>
    </w:p>
    <w:p w:rsidR="00B434C1" w:rsidRPr="00F87B7B" w:rsidRDefault="0015091C" w:rsidP="00B434C1">
      <w:pPr>
        <w:jc w:val="center"/>
        <w:rPr>
          <w:rFonts w:ascii="Arial" w:hAnsi="Arial" w:cs="Arial"/>
          <w:sz w:val="22"/>
          <w:szCs w:val="22"/>
        </w:rPr>
      </w:pPr>
      <w:r>
        <w:rPr>
          <w:rFonts w:ascii="Arial" w:hAnsi="Arial" w:cs="Arial"/>
          <w:sz w:val="22"/>
          <w:szCs w:val="22"/>
        </w:rPr>
        <w:lastRenderedPageBreak/>
        <w:t>B.P. Miglin</w:t>
      </w:r>
    </w:p>
    <w:p w:rsidR="00B434C1" w:rsidRPr="00F87B7B" w:rsidRDefault="00C60F6A" w:rsidP="00B434C1">
      <w:pPr>
        <w:jc w:val="center"/>
        <w:rPr>
          <w:rFonts w:ascii="Arial" w:hAnsi="Arial" w:cs="Arial"/>
          <w:sz w:val="22"/>
          <w:szCs w:val="22"/>
        </w:rPr>
      </w:pPr>
      <w:r>
        <w:rPr>
          <w:rFonts w:ascii="Arial" w:hAnsi="Arial" w:cs="Arial"/>
          <w:sz w:val="22"/>
          <w:szCs w:val="22"/>
        </w:rPr>
        <w:t>Shell International E&amp;P</w:t>
      </w:r>
      <w:r w:rsidR="00E307B9">
        <w:rPr>
          <w:rFonts w:ascii="Arial" w:hAnsi="Arial" w:cs="Arial"/>
          <w:sz w:val="22"/>
          <w:szCs w:val="22"/>
        </w:rPr>
        <w:t>, Inc</w:t>
      </w:r>
    </w:p>
    <w:p w:rsidR="00B434C1" w:rsidRPr="00845679" w:rsidRDefault="00E307B9" w:rsidP="00B434C1">
      <w:pPr>
        <w:jc w:val="center"/>
        <w:rPr>
          <w:rFonts w:ascii="Arial" w:hAnsi="Arial" w:cs="Arial"/>
          <w:sz w:val="22"/>
          <w:szCs w:val="22"/>
        </w:rPr>
      </w:pPr>
      <w:r>
        <w:rPr>
          <w:rFonts w:ascii="Arial" w:hAnsi="Arial" w:cs="Arial"/>
          <w:sz w:val="22"/>
          <w:szCs w:val="22"/>
        </w:rPr>
        <w:t>200 N. Dairy Ashford</w:t>
      </w:r>
    </w:p>
    <w:p w:rsidR="00B434C1" w:rsidRPr="00F87B7B" w:rsidRDefault="00E307B9" w:rsidP="00B434C1">
      <w:pPr>
        <w:jc w:val="center"/>
        <w:rPr>
          <w:rFonts w:ascii="Arial" w:hAnsi="Arial" w:cs="Arial"/>
          <w:sz w:val="22"/>
          <w:szCs w:val="22"/>
        </w:rPr>
      </w:pPr>
      <w:r>
        <w:rPr>
          <w:rFonts w:ascii="Arial" w:hAnsi="Arial" w:cs="Arial"/>
          <w:sz w:val="22"/>
          <w:szCs w:val="22"/>
        </w:rPr>
        <w:t>Houston, TX 77079</w:t>
      </w:r>
    </w:p>
    <w:p w:rsidR="00B434C1" w:rsidRPr="00F87B7B" w:rsidRDefault="00E307B9" w:rsidP="00B434C1">
      <w:pPr>
        <w:jc w:val="center"/>
        <w:rPr>
          <w:rFonts w:ascii="Arial" w:hAnsi="Arial" w:cs="Arial"/>
          <w:sz w:val="22"/>
          <w:szCs w:val="22"/>
        </w:rPr>
      </w:pPr>
      <w:r>
        <w:rPr>
          <w:rFonts w:ascii="Arial" w:hAnsi="Arial" w:cs="Arial"/>
          <w:sz w:val="22"/>
          <w:szCs w:val="22"/>
        </w:rPr>
        <w:t>USA</w:t>
      </w:r>
    </w:p>
    <w:p w:rsidR="00767D1B" w:rsidRPr="001D4B82" w:rsidRDefault="00767D1B" w:rsidP="00980AE6">
      <w:pPr>
        <w:jc w:val="center"/>
        <w:rPr>
          <w:rFonts w:ascii="Arial" w:hAnsi="Arial" w:cs="Arial"/>
          <w:sz w:val="22"/>
          <w:szCs w:val="22"/>
        </w:rPr>
      </w:pPr>
    </w:p>
    <w:p w:rsidR="00B434C1" w:rsidRPr="00F87B7B" w:rsidRDefault="00A30E50" w:rsidP="00B434C1">
      <w:pPr>
        <w:jc w:val="center"/>
        <w:rPr>
          <w:rFonts w:ascii="Arial" w:hAnsi="Arial" w:cs="Arial"/>
          <w:sz w:val="22"/>
          <w:szCs w:val="22"/>
        </w:rPr>
      </w:pPr>
      <w:r>
        <w:rPr>
          <w:rFonts w:ascii="Arial" w:hAnsi="Arial" w:cs="Arial"/>
          <w:sz w:val="22"/>
          <w:szCs w:val="22"/>
        </w:rPr>
        <w:t>M.A. Gonzalez and B.D. Chambers</w:t>
      </w:r>
    </w:p>
    <w:p w:rsidR="003A27B2" w:rsidRDefault="003A27B2" w:rsidP="003A27B2">
      <w:pPr>
        <w:jc w:val="center"/>
        <w:rPr>
          <w:rFonts w:ascii="Arial" w:hAnsi="Arial" w:cs="Arial"/>
          <w:i/>
          <w:iCs/>
        </w:rPr>
      </w:pPr>
      <w:r w:rsidRPr="003A27B2">
        <w:rPr>
          <w:rFonts w:ascii="Arial" w:hAnsi="Arial" w:cs="Arial"/>
          <w:sz w:val="22"/>
          <w:szCs w:val="22"/>
        </w:rPr>
        <w:t>Shell Global Solutions US</w:t>
      </w:r>
      <w:r w:rsidR="00A30E50">
        <w:rPr>
          <w:rFonts w:ascii="Arial" w:hAnsi="Arial" w:cs="Arial"/>
          <w:sz w:val="22"/>
          <w:szCs w:val="22"/>
        </w:rPr>
        <w:t>, Inc</w:t>
      </w:r>
    </w:p>
    <w:p w:rsidR="003A27B2" w:rsidRPr="00845679" w:rsidRDefault="003A27B2" w:rsidP="003A27B2">
      <w:pPr>
        <w:jc w:val="center"/>
        <w:rPr>
          <w:rFonts w:ascii="Arial" w:hAnsi="Arial" w:cs="Arial"/>
          <w:sz w:val="22"/>
          <w:szCs w:val="22"/>
        </w:rPr>
      </w:pPr>
      <w:r>
        <w:rPr>
          <w:rFonts w:ascii="Arial" w:hAnsi="Arial" w:cs="Arial"/>
          <w:sz w:val="22"/>
          <w:szCs w:val="22"/>
        </w:rPr>
        <w:t>3333 Hwy. 6 South</w:t>
      </w:r>
    </w:p>
    <w:p w:rsidR="003A27B2" w:rsidRPr="00F87B7B" w:rsidRDefault="003A27B2" w:rsidP="003A27B2">
      <w:pPr>
        <w:jc w:val="center"/>
        <w:rPr>
          <w:rFonts w:ascii="Arial" w:hAnsi="Arial" w:cs="Arial"/>
          <w:sz w:val="22"/>
          <w:szCs w:val="22"/>
        </w:rPr>
      </w:pPr>
      <w:r>
        <w:rPr>
          <w:rFonts w:ascii="Arial" w:hAnsi="Arial" w:cs="Arial"/>
          <w:sz w:val="22"/>
          <w:szCs w:val="22"/>
        </w:rPr>
        <w:t>Houston, TX 77082</w:t>
      </w:r>
    </w:p>
    <w:p w:rsidR="00B434C1" w:rsidRPr="00F87B7B" w:rsidRDefault="003A27B2" w:rsidP="00B434C1">
      <w:pPr>
        <w:jc w:val="center"/>
        <w:rPr>
          <w:rFonts w:ascii="Arial" w:hAnsi="Arial" w:cs="Arial"/>
          <w:sz w:val="22"/>
          <w:szCs w:val="22"/>
        </w:rPr>
      </w:pPr>
      <w:r>
        <w:rPr>
          <w:rFonts w:ascii="Arial" w:hAnsi="Arial" w:cs="Arial"/>
          <w:sz w:val="22"/>
          <w:szCs w:val="22"/>
        </w:rPr>
        <w:t>USA</w:t>
      </w:r>
    </w:p>
    <w:p w:rsidR="001C4719" w:rsidRPr="001D4B82" w:rsidRDefault="001C4719" w:rsidP="00980AE6">
      <w:pPr>
        <w:jc w:val="center"/>
        <w:rPr>
          <w:rFonts w:ascii="Arial" w:hAnsi="Arial" w:cs="Arial"/>
          <w:sz w:val="22"/>
          <w:szCs w:val="22"/>
        </w:rPr>
      </w:pPr>
    </w:p>
    <w:p w:rsidR="001C4719" w:rsidRPr="001D4B82" w:rsidRDefault="001C4719" w:rsidP="00980AE6">
      <w:pPr>
        <w:jc w:val="center"/>
        <w:rPr>
          <w:rFonts w:ascii="Arial" w:hAnsi="Arial" w:cs="Arial"/>
          <w:sz w:val="22"/>
          <w:szCs w:val="22"/>
        </w:rPr>
      </w:pPr>
    </w:p>
    <w:p w:rsidR="00767D1B" w:rsidRPr="001D4B82" w:rsidRDefault="00767D1B" w:rsidP="00980AE6">
      <w:pPr>
        <w:pStyle w:val="Heading3"/>
        <w:jc w:val="center"/>
        <w:rPr>
          <w:sz w:val="22"/>
          <w:szCs w:val="22"/>
        </w:rPr>
        <w:sectPr w:rsidR="00767D1B" w:rsidRPr="001D4B82" w:rsidSect="00767D1B">
          <w:type w:val="continuous"/>
          <w:pgSz w:w="12240" w:h="15840"/>
          <w:pgMar w:top="3600" w:right="1080" w:bottom="1440" w:left="1080" w:header="720" w:footer="720" w:gutter="0"/>
          <w:cols w:num="2" w:space="720" w:equalWidth="0">
            <w:col w:w="4680" w:space="720"/>
            <w:col w:w="4680"/>
          </w:cols>
          <w:docGrid w:linePitch="360"/>
        </w:sectPr>
      </w:pPr>
    </w:p>
    <w:p w:rsidR="001D4B82" w:rsidRPr="00F87B7B" w:rsidRDefault="001D4B82" w:rsidP="001D4B82">
      <w:pPr>
        <w:pStyle w:val="Heading3"/>
        <w:spacing w:before="0" w:after="0"/>
        <w:jc w:val="center"/>
        <w:rPr>
          <w:sz w:val="22"/>
          <w:szCs w:val="22"/>
        </w:rPr>
      </w:pPr>
      <w:r w:rsidRPr="00F87B7B">
        <w:rPr>
          <w:sz w:val="22"/>
          <w:szCs w:val="22"/>
        </w:rPr>
        <w:lastRenderedPageBreak/>
        <w:t>ABSTRACT</w:t>
      </w:r>
    </w:p>
    <w:p w:rsidR="001D4B82" w:rsidRPr="00F87B7B" w:rsidRDefault="001D4B82" w:rsidP="001D4B82">
      <w:pPr>
        <w:rPr>
          <w:rFonts w:ascii="Arial" w:hAnsi="Arial" w:cs="Arial"/>
          <w:sz w:val="22"/>
          <w:szCs w:val="22"/>
        </w:rPr>
        <w:sectPr w:rsidR="001D4B82" w:rsidRPr="00F87B7B" w:rsidSect="009F701B">
          <w:type w:val="continuous"/>
          <w:pgSz w:w="12240" w:h="15840"/>
          <w:pgMar w:top="3600" w:right="1080" w:bottom="1440" w:left="1080" w:header="720" w:footer="720" w:gutter="0"/>
          <w:cols w:space="720"/>
          <w:docGrid w:linePitch="360"/>
        </w:sectPr>
      </w:pPr>
    </w:p>
    <w:p w:rsidR="001D4B82" w:rsidRPr="00F87B7B" w:rsidRDefault="001D4B82" w:rsidP="001D4B82">
      <w:pPr>
        <w:rPr>
          <w:rFonts w:ascii="Arial" w:hAnsi="Arial" w:cs="Arial"/>
          <w:sz w:val="22"/>
          <w:szCs w:val="22"/>
        </w:rPr>
      </w:pPr>
    </w:p>
    <w:p w:rsidR="00B94D21" w:rsidRPr="00E52607" w:rsidRDefault="00B94D21" w:rsidP="00B94D21">
      <w:pPr>
        <w:pStyle w:val="Affiliation"/>
        <w:spacing w:after="120"/>
        <w:jc w:val="both"/>
        <w:rPr>
          <w:rFonts w:ascii="Arial" w:hAnsi="Arial" w:cs="Arial"/>
          <w:iCs/>
          <w:sz w:val="24"/>
        </w:rPr>
      </w:pPr>
      <w:r w:rsidRPr="008278C9">
        <w:rPr>
          <w:rFonts w:ascii="Arial" w:hAnsi="Arial" w:cs="Arial"/>
          <w:iCs/>
          <w:sz w:val="24"/>
        </w:rPr>
        <w:t xml:space="preserve">Sour well design is </w:t>
      </w:r>
      <w:r>
        <w:rPr>
          <w:rFonts w:ascii="Arial" w:hAnsi="Arial" w:cs="Arial"/>
          <w:iCs/>
          <w:sz w:val="24"/>
        </w:rPr>
        <w:t xml:space="preserve">often </w:t>
      </w:r>
      <w:r w:rsidRPr="008278C9">
        <w:rPr>
          <w:rFonts w:ascii="Arial" w:hAnsi="Arial" w:cs="Arial"/>
          <w:iCs/>
          <w:sz w:val="24"/>
        </w:rPr>
        <w:t>based upon</w:t>
      </w:r>
      <w:r>
        <w:rPr>
          <w:rFonts w:ascii="Arial" w:hAnsi="Arial" w:cs="Arial"/>
          <w:iCs/>
          <w:sz w:val="24"/>
        </w:rPr>
        <w:t xml:space="preserve"> </w:t>
      </w:r>
      <w:r w:rsidRPr="008278C9">
        <w:rPr>
          <w:rFonts w:ascii="Arial" w:hAnsi="Arial" w:cs="Arial"/>
          <w:iCs/>
          <w:sz w:val="24"/>
        </w:rPr>
        <w:t>the partial pressure of the acid gases, which have most often been correlated to equivalent partial pressures in laboratory studies conducted at a much lower total pressure.  This partial pressure approach is supported by industry standards, notably ISO 151561 / NACE MR0175</w:t>
      </w:r>
      <w:r w:rsidRPr="00291A26">
        <w:rPr>
          <w:rFonts w:ascii="Arial" w:hAnsi="Arial" w:cs="Arial"/>
          <w:iCs/>
          <w:sz w:val="24"/>
          <w:vertAlign w:val="superscript"/>
        </w:rPr>
        <w:t>1</w:t>
      </w:r>
      <w:r w:rsidRPr="008278C9">
        <w:rPr>
          <w:rFonts w:ascii="Arial" w:hAnsi="Arial" w:cs="Arial"/>
          <w:iCs/>
          <w:sz w:val="24"/>
        </w:rPr>
        <w:t>. However, total pressure and temperature, as seen in the wells, will impact the solubility and chemical behavior of these acid gases in the water phase, in some instances potentially reducing the corrosive impact by a factor of 3-10, depending upon the potential critical parameters of hydrogen sul</w:t>
      </w:r>
      <w:r>
        <w:rPr>
          <w:rFonts w:ascii="Arial" w:hAnsi="Arial" w:cs="Arial"/>
          <w:iCs/>
          <w:sz w:val="24"/>
        </w:rPr>
        <w:t>f</w:t>
      </w:r>
      <w:r w:rsidRPr="008278C9">
        <w:rPr>
          <w:rFonts w:ascii="Arial" w:hAnsi="Arial" w:cs="Arial"/>
          <w:iCs/>
          <w:sz w:val="24"/>
        </w:rPr>
        <w:t xml:space="preserve">ide activity </w:t>
      </w:r>
      <w:r w:rsidRPr="00595826">
        <w:rPr>
          <w:rFonts w:ascii="Arial" w:hAnsi="Arial" w:cs="Arial"/>
          <w:iCs/>
          <w:sz w:val="24"/>
        </w:rPr>
        <w:t>or</w:t>
      </w:r>
      <w:r w:rsidRPr="008278C9">
        <w:rPr>
          <w:rFonts w:ascii="Arial" w:hAnsi="Arial" w:cs="Arial"/>
          <w:iCs/>
          <w:sz w:val="24"/>
        </w:rPr>
        <w:t xml:space="preserve"> solubility.</w:t>
      </w:r>
    </w:p>
    <w:p w:rsidR="00B94D21" w:rsidRDefault="00B94D21" w:rsidP="00B94D21">
      <w:pPr>
        <w:pStyle w:val="Affiliation"/>
        <w:spacing w:after="120"/>
        <w:jc w:val="both"/>
        <w:rPr>
          <w:rFonts w:ascii="Arial" w:hAnsi="Arial" w:cs="Arial"/>
          <w:iCs/>
          <w:sz w:val="24"/>
        </w:rPr>
      </w:pPr>
      <w:r w:rsidRPr="008278C9">
        <w:rPr>
          <w:rFonts w:ascii="Arial" w:hAnsi="Arial" w:cs="Arial"/>
          <w:iCs/>
          <w:sz w:val="24"/>
        </w:rPr>
        <w:t xml:space="preserve">This paper </w:t>
      </w:r>
      <w:r>
        <w:rPr>
          <w:rFonts w:ascii="Arial" w:hAnsi="Arial" w:cs="Arial"/>
          <w:iCs/>
          <w:sz w:val="24"/>
        </w:rPr>
        <w:t xml:space="preserve">summarizes </w:t>
      </w:r>
      <w:r w:rsidRPr="008278C9">
        <w:rPr>
          <w:rFonts w:ascii="Arial" w:hAnsi="Arial" w:cs="Arial"/>
          <w:iCs/>
          <w:sz w:val="24"/>
        </w:rPr>
        <w:t>a test program that studied the physical chemistry of hydrogen sul</w:t>
      </w:r>
      <w:r>
        <w:rPr>
          <w:rFonts w:ascii="Arial" w:hAnsi="Arial" w:cs="Arial"/>
          <w:iCs/>
          <w:sz w:val="24"/>
        </w:rPr>
        <w:t>f</w:t>
      </w:r>
      <w:r w:rsidRPr="008278C9">
        <w:rPr>
          <w:rFonts w:ascii="Arial" w:hAnsi="Arial" w:cs="Arial"/>
          <w:iCs/>
          <w:sz w:val="24"/>
        </w:rPr>
        <w:t>ide (H</w:t>
      </w:r>
      <w:r w:rsidRPr="008278C9">
        <w:rPr>
          <w:rFonts w:ascii="Arial" w:hAnsi="Arial" w:cs="Arial"/>
          <w:iCs/>
          <w:sz w:val="24"/>
          <w:vertAlign w:val="subscript"/>
        </w:rPr>
        <w:t>2</w:t>
      </w:r>
      <w:r w:rsidRPr="008278C9">
        <w:rPr>
          <w:rFonts w:ascii="Arial" w:hAnsi="Arial" w:cs="Arial"/>
          <w:iCs/>
          <w:sz w:val="24"/>
        </w:rPr>
        <w:t>S) and its impact on the sour material properties of low alloy steel</w:t>
      </w:r>
      <w:r>
        <w:rPr>
          <w:rFonts w:ascii="Arial" w:hAnsi="Arial" w:cs="Arial"/>
          <w:iCs/>
          <w:sz w:val="24"/>
        </w:rPr>
        <w:t>s</w:t>
      </w:r>
      <w:r w:rsidRPr="008278C9">
        <w:rPr>
          <w:rFonts w:ascii="Arial" w:hAnsi="Arial" w:cs="Arial"/>
          <w:iCs/>
          <w:sz w:val="24"/>
        </w:rPr>
        <w:t xml:space="preserve">.  </w:t>
      </w:r>
      <w:r>
        <w:rPr>
          <w:rFonts w:ascii="Arial" w:hAnsi="Arial" w:cs="Arial"/>
          <w:iCs/>
          <w:sz w:val="24"/>
        </w:rPr>
        <w:t xml:space="preserve">The </w:t>
      </w:r>
      <w:r w:rsidRPr="008278C9">
        <w:rPr>
          <w:rFonts w:ascii="Arial" w:hAnsi="Arial" w:cs="Arial"/>
          <w:iCs/>
          <w:sz w:val="24"/>
        </w:rPr>
        <w:t>program investigated various parameters of H</w:t>
      </w:r>
      <w:r w:rsidRPr="008278C9">
        <w:rPr>
          <w:rFonts w:ascii="Arial" w:hAnsi="Arial" w:cs="Arial"/>
          <w:iCs/>
          <w:sz w:val="24"/>
          <w:vertAlign w:val="subscript"/>
        </w:rPr>
        <w:t>2</w:t>
      </w:r>
      <w:r w:rsidRPr="008278C9">
        <w:rPr>
          <w:rFonts w:ascii="Arial" w:hAnsi="Arial" w:cs="Arial"/>
          <w:iCs/>
          <w:sz w:val="24"/>
        </w:rPr>
        <w:t>S to determine the most influential environmental factor in sul</w:t>
      </w:r>
      <w:r>
        <w:rPr>
          <w:rFonts w:ascii="Arial" w:hAnsi="Arial" w:cs="Arial"/>
          <w:iCs/>
          <w:sz w:val="24"/>
        </w:rPr>
        <w:t>f</w:t>
      </w:r>
      <w:r w:rsidRPr="008278C9">
        <w:rPr>
          <w:rFonts w:ascii="Arial" w:hAnsi="Arial" w:cs="Arial"/>
          <w:iCs/>
          <w:sz w:val="24"/>
        </w:rPr>
        <w:t>ide stress cracking (SSC) of alloy steel</w:t>
      </w:r>
      <w:r>
        <w:rPr>
          <w:rFonts w:ascii="Arial" w:hAnsi="Arial" w:cs="Arial"/>
          <w:iCs/>
          <w:sz w:val="24"/>
        </w:rPr>
        <w:t>s</w:t>
      </w:r>
      <w:r w:rsidRPr="008278C9">
        <w:rPr>
          <w:rFonts w:ascii="Arial" w:hAnsi="Arial" w:cs="Arial"/>
          <w:iCs/>
          <w:sz w:val="24"/>
        </w:rPr>
        <w:t xml:space="preserve"> typically used in mildly sour wells.  The parameters assessed included gas partial pressure, gas fugacity</w:t>
      </w:r>
      <w:r>
        <w:rPr>
          <w:rFonts w:ascii="Arial" w:hAnsi="Arial" w:cs="Arial"/>
          <w:iCs/>
          <w:sz w:val="24"/>
        </w:rPr>
        <w:t>,</w:t>
      </w:r>
      <w:r w:rsidRPr="008278C9">
        <w:rPr>
          <w:rFonts w:ascii="Arial" w:hAnsi="Arial" w:cs="Arial"/>
          <w:iCs/>
          <w:sz w:val="24"/>
        </w:rPr>
        <w:t xml:space="preserve"> aqueous solubility</w:t>
      </w:r>
      <w:r w:rsidRPr="00E52607">
        <w:rPr>
          <w:rFonts w:ascii="Arial" w:hAnsi="Arial" w:cs="Arial"/>
          <w:iCs/>
          <w:sz w:val="24"/>
        </w:rPr>
        <w:t xml:space="preserve">, and aqueous chemical activity.  </w:t>
      </w:r>
      <w:r>
        <w:rPr>
          <w:rFonts w:ascii="Arial" w:hAnsi="Arial" w:cs="Arial"/>
          <w:iCs/>
          <w:sz w:val="24"/>
        </w:rPr>
        <w:t>S</w:t>
      </w:r>
      <w:r w:rsidRPr="008278C9">
        <w:rPr>
          <w:rFonts w:ascii="Arial" w:hAnsi="Arial" w:cs="Arial"/>
          <w:iCs/>
          <w:sz w:val="24"/>
        </w:rPr>
        <w:t xml:space="preserve">tatistical data analysis of the results </w:t>
      </w:r>
      <w:r>
        <w:rPr>
          <w:rFonts w:ascii="Arial" w:hAnsi="Arial" w:cs="Arial"/>
          <w:iCs/>
          <w:sz w:val="24"/>
        </w:rPr>
        <w:t xml:space="preserve">with </w:t>
      </w:r>
      <w:r w:rsidRPr="008278C9">
        <w:rPr>
          <w:rFonts w:ascii="Arial" w:hAnsi="Arial" w:cs="Arial"/>
          <w:iCs/>
          <w:sz w:val="24"/>
        </w:rPr>
        <w:t xml:space="preserve">95% confidence limits </w:t>
      </w:r>
      <w:r>
        <w:rPr>
          <w:rFonts w:ascii="Arial" w:hAnsi="Arial" w:cs="Arial"/>
          <w:iCs/>
          <w:sz w:val="24"/>
        </w:rPr>
        <w:t xml:space="preserve">indicated that fugacity was the primary parameter for control of sulfide stress crack propagation for a casing steel.  </w:t>
      </w:r>
    </w:p>
    <w:p w:rsidR="001D4B82" w:rsidRPr="00B94D21" w:rsidRDefault="00B94D21" w:rsidP="00B94D21">
      <w:pPr>
        <w:pStyle w:val="Affiliation"/>
        <w:spacing w:after="120"/>
        <w:jc w:val="both"/>
        <w:rPr>
          <w:rFonts w:ascii="Arial" w:hAnsi="Arial" w:cs="Arial"/>
          <w:iCs/>
          <w:sz w:val="24"/>
        </w:rPr>
      </w:pPr>
      <w:r w:rsidRPr="00B94D21">
        <w:rPr>
          <w:rFonts w:ascii="Arial" w:hAnsi="Arial" w:cs="Arial"/>
          <w:iCs/>
          <w:sz w:val="24"/>
        </w:rPr>
        <w:lastRenderedPageBreak/>
        <w:t>Incorporating fugacity determinations into well assessments potentially provide opportunities for use of lower grades of materials, especially for high pressure gas wells.  However, there are other implications that need to be understood for high pressure liquid systems.  In particular, the current approach of using the H</w:t>
      </w:r>
      <w:r w:rsidRPr="00B9288E">
        <w:rPr>
          <w:rFonts w:ascii="Arial" w:hAnsi="Arial" w:cs="Arial"/>
          <w:iCs/>
          <w:sz w:val="24"/>
          <w:vertAlign w:val="subscript"/>
        </w:rPr>
        <w:t>2</w:t>
      </w:r>
      <w:r w:rsidRPr="00B94D21">
        <w:rPr>
          <w:rFonts w:ascii="Arial" w:hAnsi="Arial" w:cs="Arial"/>
          <w:iCs/>
          <w:sz w:val="24"/>
        </w:rPr>
        <w:t>S value at the bubble point of an oil may prove to be non-conservative for high pressure liquid hydrocarbon systems. Lastly, this paper describes some challenges facing ISO 15156 when moving forward to address incorporation of thermodynamic calculations to determine the actual degree of sour severity in the field.</w:t>
      </w:r>
    </w:p>
    <w:p w:rsidR="001D4B82" w:rsidRPr="00F87B7B" w:rsidRDefault="001D4B82" w:rsidP="001D4B82">
      <w:pPr>
        <w:jc w:val="both"/>
        <w:rPr>
          <w:rFonts w:ascii="Arial" w:hAnsi="Arial" w:cs="Arial"/>
          <w:sz w:val="22"/>
          <w:szCs w:val="22"/>
        </w:rPr>
      </w:pPr>
    </w:p>
    <w:p w:rsidR="001D4B82" w:rsidRPr="00F87B7B" w:rsidRDefault="001D4B82" w:rsidP="001D4B82">
      <w:pPr>
        <w:jc w:val="both"/>
        <w:rPr>
          <w:rFonts w:ascii="Arial" w:hAnsi="Arial" w:cs="Arial"/>
          <w:sz w:val="22"/>
          <w:szCs w:val="22"/>
        </w:rPr>
      </w:pPr>
      <w:r>
        <w:rPr>
          <w:rFonts w:ascii="Arial" w:hAnsi="Arial" w:cs="Arial"/>
          <w:sz w:val="22"/>
          <w:szCs w:val="22"/>
        </w:rPr>
        <w:t>Key</w:t>
      </w:r>
      <w:r w:rsidR="00BA5923">
        <w:rPr>
          <w:rFonts w:ascii="Arial" w:hAnsi="Arial" w:cs="Arial"/>
          <w:sz w:val="22"/>
          <w:szCs w:val="22"/>
        </w:rPr>
        <w:t xml:space="preserve"> </w:t>
      </w:r>
      <w:r>
        <w:rPr>
          <w:rFonts w:ascii="Arial" w:hAnsi="Arial" w:cs="Arial"/>
          <w:sz w:val="22"/>
          <w:szCs w:val="22"/>
        </w:rPr>
        <w:t xml:space="preserve">words: </w:t>
      </w:r>
      <w:r w:rsidR="00595826">
        <w:rPr>
          <w:rFonts w:ascii="Arial" w:hAnsi="Arial" w:cs="Arial"/>
          <w:sz w:val="22"/>
          <w:szCs w:val="22"/>
        </w:rPr>
        <w:t>Sulfide Stress Cracking, SSC, Fugacity, Sour We</w:t>
      </w:r>
      <w:r w:rsidR="007D1E54">
        <w:rPr>
          <w:rFonts w:ascii="Arial" w:hAnsi="Arial" w:cs="Arial"/>
          <w:sz w:val="22"/>
          <w:szCs w:val="22"/>
        </w:rPr>
        <w:t>lls, Oil Country Tubular Goods</w:t>
      </w:r>
    </w:p>
    <w:p w:rsidR="001D4B82" w:rsidRDefault="001D4B82" w:rsidP="001D4B82">
      <w:pPr>
        <w:pStyle w:val="Heading3"/>
        <w:spacing w:before="0" w:after="0"/>
        <w:jc w:val="center"/>
        <w:rPr>
          <w:sz w:val="22"/>
          <w:szCs w:val="22"/>
        </w:rPr>
      </w:pPr>
    </w:p>
    <w:p w:rsidR="001D4B82" w:rsidRDefault="001D4B82" w:rsidP="001D4B82">
      <w:pPr>
        <w:pStyle w:val="Heading3"/>
        <w:spacing w:before="0" w:after="0"/>
        <w:jc w:val="center"/>
        <w:rPr>
          <w:sz w:val="22"/>
          <w:szCs w:val="22"/>
        </w:rPr>
      </w:pPr>
      <w:r>
        <w:rPr>
          <w:sz w:val="22"/>
          <w:szCs w:val="22"/>
        </w:rPr>
        <w:t>INTRODUCTION</w:t>
      </w:r>
    </w:p>
    <w:p w:rsidR="004F0BA5" w:rsidRPr="004F0BA5" w:rsidRDefault="004F0BA5" w:rsidP="004F0BA5"/>
    <w:p w:rsidR="004F0BA5" w:rsidRDefault="004F0BA5" w:rsidP="004F0BA5">
      <w:pPr>
        <w:pStyle w:val="Flienach"/>
        <w:spacing w:after="120"/>
        <w:rPr>
          <w:rFonts w:ascii="Arial" w:hAnsi="Arial" w:cs="Arial"/>
          <w:iCs/>
        </w:rPr>
      </w:pPr>
      <w:r w:rsidRPr="008278C9">
        <w:rPr>
          <w:rFonts w:ascii="Arial" w:hAnsi="Arial" w:cs="Arial"/>
        </w:rPr>
        <w:t xml:space="preserve">Currently sour materials </w:t>
      </w:r>
      <w:r>
        <w:rPr>
          <w:rFonts w:ascii="Arial" w:hAnsi="Arial" w:cs="Arial"/>
        </w:rPr>
        <w:t>selection referring to</w:t>
      </w:r>
      <w:r w:rsidRPr="008278C9">
        <w:rPr>
          <w:rFonts w:ascii="Arial" w:hAnsi="Arial" w:cs="Arial"/>
        </w:rPr>
        <w:t xml:space="preserve"> ISO </w:t>
      </w:r>
      <w:r>
        <w:rPr>
          <w:rFonts w:ascii="Arial" w:hAnsi="Arial" w:cs="Arial"/>
        </w:rPr>
        <w:t xml:space="preserve">15156 </w:t>
      </w:r>
      <w:r w:rsidRPr="008278C9">
        <w:rPr>
          <w:rFonts w:ascii="Arial" w:hAnsi="Arial" w:cs="Arial"/>
        </w:rPr>
        <w:t>standards is based upon acid gas partial pressure</w:t>
      </w:r>
      <w:r>
        <w:rPr>
          <w:rFonts w:ascii="Arial" w:hAnsi="Arial" w:cs="Arial"/>
        </w:rPr>
        <w:t xml:space="preserve"> up to 10 bar</w:t>
      </w:r>
      <w:r w:rsidR="003E5004">
        <w:rPr>
          <w:rFonts w:ascii="Arial" w:hAnsi="Arial" w:cs="Arial"/>
        </w:rPr>
        <w:t xml:space="preserve"> (145 psi)</w:t>
      </w:r>
      <w:r w:rsidRPr="008278C9">
        <w:rPr>
          <w:rFonts w:ascii="Arial" w:hAnsi="Arial" w:cs="Arial"/>
        </w:rPr>
        <w:t>, which has most often been correlated to equivalent partial pressures in laboratory studies conducted at a much lower total pressure.  However, at total high pressures, typically above about 100 bar (1450 psi), non-ideal gas behavior can have a quite significant impact on H</w:t>
      </w:r>
      <w:r w:rsidRPr="008278C9">
        <w:rPr>
          <w:rFonts w:ascii="Arial" w:hAnsi="Arial" w:cs="Arial"/>
          <w:vertAlign w:val="subscript"/>
        </w:rPr>
        <w:t>2</w:t>
      </w:r>
      <w:r w:rsidRPr="008278C9">
        <w:rPr>
          <w:rFonts w:ascii="Arial" w:hAnsi="Arial" w:cs="Arial"/>
        </w:rPr>
        <w:t xml:space="preserve">S behavior in the water phase, influencing both aqueous chemical activity (or base corrosivity) and aqueous concentration (influencing mass transport), to </w:t>
      </w:r>
      <w:r w:rsidRPr="008278C9">
        <w:rPr>
          <w:rFonts w:ascii="Arial" w:hAnsi="Arial" w:cs="Arial"/>
          <w:i/>
        </w:rPr>
        <w:t>different</w:t>
      </w:r>
      <w:r w:rsidRPr="008278C9">
        <w:rPr>
          <w:rFonts w:ascii="Arial" w:hAnsi="Arial" w:cs="Arial"/>
        </w:rPr>
        <w:t xml:space="preserve"> degrees. </w:t>
      </w:r>
      <w:r>
        <w:rPr>
          <w:rFonts w:ascii="Arial" w:hAnsi="Arial" w:cs="Arial"/>
        </w:rPr>
        <w:t>Nevertheless</w:t>
      </w:r>
      <w:r w:rsidRPr="008278C9">
        <w:rPr>
          <w:rFonts w:ascii="Arial" w:hAnsi="Arial" w:cs="Arial"/>
        </w:rPr>
        <w:t>, as other effects may also participate in SSC, e.g., galvanic influences of a sul</w:t>
      </w:r>
      <w:r>
        <w:rPr>
          <w:rFonts w:ascii="Arial" w:hAnsi="Arial" w:cs="Arial"/>
        </w:rPr>
        <w:t>f</w:t>
      </w:r>
      <w:r w:rsidRPr="008278C9">
        <w:rPr>
          <w:rFonts w:ascii="Arial" w:hAnsi="Arial" w:cs="Arial"/>
        </w:rPr>
        <w:t>ide film, it was deemed appropriate to also assess the historical parameter of pH</w:t>
      </w:r>
      <w:r w:rsidRPr="008278C9">
        <w:rPr>
          <w:rFonts w:ascii="Arial" w:hAnsi="Arial" w:cs="Arial"/>
          <w:vertAlign w:val="subscript"/>
        </w:rPr>
        <w:t>2</w:t>
      </w:r>
      <w:r w:rsidRPr="008278C9">
        <w:rPr>
          <w:rFonts w:ascii="Arial" w:hAnsi="Arial" w:cs="Arial"/>
        </w:rPr>
        <w:t xml:space="preserve">S. </w:t>
      </w:r>
      <w:r w:rsidRPr="008278C9">
        <w:rPr>
          <w:rFonts w:ascii="Arial" w:hAnsi="Arial" w:cs="Arial"/>
          <w:iCs/>
        </w:rPr>
        <w:t xml:space="preserve">As differences in physical chemistry </w:t>
      </w:r>
      <w:r w:rsidRPr="00E52607">
        <w:rPr>
          <w:rFonts w:ascii="Arial" w:hAnsi="Arial" w:cs="Arial"/>
          <w:iCs/>
        </w:rPr>
        <w:t>behavior</w:t>
      </w:r>
      <w:r w:rsidRPr="008278C9">
        <w:rPr>
          <w:rFonts w:ascii="Arial" w:hAnsi="Arial" w:cs="Arial"/>
          <w:iCs/>
        </w:rPr>
        <w:t xml:space="preserve"> are greater at total pressures exceeding 50-100 bar, identification of the most influential physical chemistry parameter was considered most relevant to a high pressure environment, e.g., in a well or high pressure facilities.  </w:t>
      </w:r>
    </w:p>
    <w:p w:rsidR="00872327" w:rsidRDefault="00872327" w:rsidP="00872327">
      <w:pPr>
        <w:pStyle w:val="Heading3"/>
        <w:spacing w:before="0" w:after="0"/>
        <w:jc w:val="center"/>
        <w:rPr>
          <w:sz w:val="22"/>
          <w:szCs w:val="22"/>
        </w:rPr>
      </w:pPr>
    </w:p>
    <w:p w:rsidR="004F0BA5" w:rsidRPr="00E52607" w:rsidRDefault="004F0BA5" w:rsidP="004F0BA5">
      <w:pPr>
        <w:jc w:val="both"/>
        <w:rPr>
          <w:rFonts w:ascii="Arial" w:hAnsi="Arial" w:cs="Arial"/>
        </w:rPr>
      </w:pPr>
      <w:r w:rsidRPr="008278C9">
        <w:rPr>
          <w:rFonts w:ascii="Arial" w:hAnsi="Arial" w:cs="Arial"/>
        </w:rPr>
        <w:t>Several physical chemistry (or thermodynamic) parameters for H</w:t>
      </w:r>
      <w:r w:rsidRPr="008278C9">
        <w:rPr>
          <w:rFonts w:ascii="Arial" w:hAnsi="Arial" w:cs="Arial"/>
          <w:vertAlign w:val="subscript"/>
        </w:rPr>
        <w:t>2</w:t>
      </w:r>
      <w:r w:rsidRPr="008278C9">
        <w:rPr>
          <w:rFonts w:ascii="Arial" w:hAnsi="Arial" w:cs="Arial"/>
        </w:rPr>
        <w:t xml:space="preserve">S </w:t>
      </w:r>
      <w:r w:rsidR="00CE0D6B">
        <w:rPr>
          <w:rFonts w:ascii="Arial" w:hAnsi="Arial" w:cs="Arial"/>
        </w:rPr>
        <w:t xml:space="preserve">were of interest </w:t>
      </w:r>
      <w:r>
        <w:rPr>
          <w:rFonts w:ascii="Arial" w:hAnsi="Arial" w:cs="Arial"/>
        </w:rPr>
        <w:t xml:space="preserve">for </w:t>
      </w:r>
      <w:r w:rsidRPr="008278C9">
        <w:rPr>
          <w:rFonts w:ascii="Arial" w:hAnsi="Arial" w:cs="Arial"/>
        </w:rPr>
        <w:t xml:space="preserve">this </w:t>
      </w:r>
      <w:r w:rsidR="00CE0D6B">
        <w:rPr>
          <w:rFonts w:ascii="Arial" w:hAnsi="Arial" w:cs="Arial"/>
        </w:rPr>
        <w:t>study</w:t>
      </w:r>
      <w:r w:rsidRPr="008278C9">
        <w:rPr>
          <w:rFonts w:ascii="Arial" w:hAnsi="Arial" w:cs="Arial"/>
        </w:rPr>
        <w:t>:</w:t>
      </w:r>
    </w:p>
    <w:p w:rsidR="004F0BA5" w:rsidRPr="00E52607" w:rsidRDefault="004F0BA5" w:rsidP="004F0BA5">
      <w:pPr>
        <w:pStyle w:val="ListParagraph"/>
        <w:numPr>
          <w:ilvl w:val="0"/>
          <w:numId w:val="3"/>
        </w:numPr>
        <w:ind w:left="714" w:hanging="357"/>
        <w:contextualSpacing w:val="0"/>
        <w:jc w:val="both"/>
        <w:rPr>
          <w:rFonts w:ascii="Arial" w:hAnsi="Arial" w:cs="Arial"/>
        </w:rPr>
      </w:pPr>
      <w:r w:rsidRPr="008278C9">
        <w:rPr>
          <w:rFonts w:ascii="Arial" w:hAnsi="Arial" w:cs="Arial"/>
          <w:b/>
          <w:bCs/>
          <w:i/>
          <w:iCs/>
        </w:rPr>
        <w:t>Partial Pressure</w:t>
      </w:r>
      <w:r w:rsidRPr="008278C9">
        <w:rPr>
          <w:rFonts w:ascii="Arial" w:hAnsi="Arial" w:cs="Arial"/>
        </w:rPr>
        <w:t xml:space="preserve"> of H</w:t>
      </w:r>
      <w:r w:rsidRPr="008278C9">
        <w:rPr>
          <w:rFonts w:ascii="Arial" w:hAnsi="Arial" w:cs="Arial"/>
          <w:vertAlign w:val="subscript"/>
        </w:rPr>
        <w:t>2</w:t>
      </w:r>
      <w:r w:rsidRPr="008278C9">
        <w:rPr>
          <w:rFonts w:ascii="Arial" w:hAnsi="Arial" w:cs="Arial"/>
        </w:rPr>
        <w:t>S (</w:t>
      </w:r>
      <w:r w:rsidRPr="00702AEB">
        <w:rPr>
          <w:i/>
        </w:rPr>
        <w:t>P</w:t>
      </w:r>
      <w:r w:rsidRPr="00702AEB">
        <w:rPr>
          <w:i/>
          <w:vertAlign w:val="subscript"/>
        </w:rPr>
        <w:t>H</w:t>
      </w:r>
      <w:r w:rsidRPr="00702AEB">
        <w:rPr>
          <w:i/>
          <w:sz w:val="18"/>
          <w:vertAlign w:val="subscript"/>
        </w:rPr>
        <w:t>2</w:t>
      </w:r>
      <w:r w:rsidRPr="00702AEB">
        <w:rPr>
          <w:i/>
          <w:vertAlign w:val="subscript"/>
        </w:rPr>
        <w:t>S</w:t>
      </w:r>
      <w:r>
        <w:t xml:space="preserve"> </w:t>
      </w:r>
      <w:r w:rsidRPr="008278C9">
        <w:rPr>
          <w:rFonts w:ascii="Arial" w:hAnsi="Arial" w:cs="Arial"/>
        </w:rPr>
        <w:t>or pH</w:t>
      </w:r>
      <w:r w:rsidRPr="008278C9">
        <w:rPr>
          <w:rFonts w:ascii="Arial" w:hAnsi="Arial" w:cs="Arial"/>
          <w:vertAlign w:val="subscript"/>
        </w:rPr>
        <w:t>2</w:t>
      </w:r>
      <w:r w:rsidRPr="008278C9">
        <w:rPr>
          <w:rFonts w:ascii="Arial" w:hAnsi="Arial" w:cs="Arial"/>
        </w:rPr>
        <w:t>S) is defined by the mole fraction (</w:t>
      </w:r>
      <w:r w:rsidRPr="00702AEB">
        <w:rPr>
          <w:i/>
        </w:rPr>
        <w:t>y</w:t>
      </w:r>
      <w:r w:rsidRPr="00702AEB">
        <w:rPr>
          <w:i/>
          <w:sz w:val="22"/>
          <w:vertAlign w:val="subscript"/>
        </w:rPr>
        <w:t>H</w:t>
      </w:r>
      <w:r w:rsidRPr="00702AEB">
        <w:rPr>
          <w:i/>
          <w:sz w:val="16"/>
          <w:vertAlign w:val="subscript"/>
        </w:rPr>
        <w:t>2</w:t>
      </w:r>
      <w:r w:rsidRPr="00702AEB">
        <w:rPr>
          <w:i/>
          <w:sz w:val="22"/>
          <w:vertAlign w:val="subscript"/>
        </w:rPr>
        <w:t>S</w:t>
      </w:r>
      <w:r w:rsidRPr="008278C9">
        <w:rPr>
          <w:rFonts w:ascii="Arial" w:hAnsi="Arial" w:cs="Arial"/>
        </w:rPr>
        <w:t>) of</w:t>
      </w:r>
      <w:r>
        <w:rPr>
          <w:rFonts w:ascii="Arial" w:hAnsi="Arial" w:cs="Arial"/>
        </w:rPr>
        <w:t xml:space="preserve"> </w:t>
      </w:r>
      <w:r w:rsidRPr="008278C9">
        <w:rPr>
          <w:rFonts w:ascii="Arial" w:hAnsi="Arial" w:cs="Arial"/>
        </w:rPr>
        <w:t>H</w:t>
      </w:r>
      <w:r w:rsidRPr="008278C9">
        <w:rPr>
          <w:rFonts w:ascii="Arial" w:hAnsi="Arial" w:cs="Arial"/>
          <w:vertAlign w:val="subscript"/>
        </w:rPr>
        <w:t>2</w:t>
      </w:r>
      <w:r w:rsidRPr="008278C9">
        <w:rPr>
          <w:rFonts w:ascii="Arial" w:hAnsi="Arial" w:cs="Arial"/>
        </w:rPr>
        <w:t xml:space="preserve">S in the vapor phase and the total pressure </w:t>
      </w:r>
      <w:r w:rsidRPr="00E52607">
        <w:rPr>
          <w:rFonts w:ascii="Arial" w:hAnsi="Arial" w:cs="Arial"/>
        </w:rPr>
        <w:t>(</w:t>
      </w:r>
      <w:r w:rsidRPr="00702AEB">
        <w:rPr>
          <w:i/>
        </w:rPr>
        <w:t>P</w:t>
      </w:r>
      <w:r w:rsidRPr="00E52607">
        <w:rPr>
          <w:rFonts w:ascii="Arial" w:hAnsi="Arial" w:cs="Arial"/>
        </w:rPr>
        <w:t xml:space="preserve">):  </w:t>
      </w:r>
    </w:p>
    <w:p w:rsidR="004F0BA5" w:rsidRPr="00E52607" w:rsidRDefault="004F0BA5" w:rsidP="004F0BA5">
      <w:pPr>
        <w:pStyle w:val="ListParagraph"/>
        <w:ind w:left="0"/>
        <w:contextualSpacing w:val="0"/>
        <w:jc w:val="center"/>
      </w:pPr>
      <w:r w:rsidRPr="00702AEB">
        <w:rPr>
          <w:i/>
        </w:rPr>
        <w:t>P</w:t>
      </w:r>
      <w:r w:rsidRPr="00702AEB">
        <w:rPr>
          <w:i/>
          <w:vertAlign w:val="subscript"/>
        </w:rPr>
        <w:t>H</w:t>
      </w:r>
      <w:r w:rsidRPr="00702AEB">
        <w:rPr>
          <w:i/>
          <w:sz w:val="18"/>
          <w:vertAlign w:val="subscript"/>
        </w:rPr>
        <w:t>2</w:t>
      </w:r>
      <w:r w:rsidRPr="00702AEB">
        <w:rPr>
          <w:i/>
          <w:vertAlign w:val="subscript"/>
        </w:rPr>
        <w:t>S</w:t>
      </w:r>
      <w:r>
        <w:t xml:space="preserve"> = </w:t>
      </w:r>
      <w:r w:rsidRPr="00702AEB">
        <w:rPr>
          <w:i/>
        </w:rPr>
        <w:t>y</w:t>
      </w:r>
      <w:r w:rsidRPr="00702AEB">
        <w:rPr>
          <w:i/>
          <w:sz w:val="22"/>
          <w:vertAlign w:val="subscript"/>
        </w:rPr>
        <w:t>H</w:t>
      </w:r>
      <w:r w:rsidRPr="00702AEB">
        <w:rPr>
          <w:i/>
          <w:sz w:val="16"/>
          <w:vertAlign w:val="subscript"/>
        </w:rPr>
        <w:t>2</w:t>
      </w:r>
      <w:r w:rsidRPr="00702AEB">
        <w:rPr>
          <w:i/>
          <w:sz w:val="22"/>
          <w:vertAlign w:val="subscript"/>
        </w:rPr>
        <w:t>S</w:t>
      </w:r>
      <w:r w:rsidRPr="00702AEB">
        <w:rPr>
          <w:i/>
        </w:rPr>
        <w:t xml:space="preserve"> P</w:t>
      </w:r>
    </w:p>
    <w:p w:rsidR="004F0BA5" w:rsidRPr="00E52607" w:rsidRDefault="004F0BA5" w:rsidP="004F0BA5">
      <w:pPr>
        <w:pStyle w:val="ListParagraph"/>
        <w:contextualSpacing w:val="0"/>
        <w:jc w:val="both"/>
        <w:rPr>
          <w:rFonts w:ascii="Arial" w:hAnsi="Arial" w:cs="Arial"/>
        </w:rPr>
      </w:pPr>
      <w:r w:rsidRPr="008278C9">
        <w:rPr>
          <w:rFonts w:ascii="Arial" w:hAnsi="Arial" w:cs="Arial"/>
        </w:rPr>
        <w:t xml:space="preserve">This definition corresponds to that in ISO 15156, Part 2, Section </w:t>
      </w:r>
      <w:r w:rsidRPr="00291A26">
        <w:rPr>
          <w:rFonts w:ascii="Arial" w:hAnsi="Arial" w:cs="Arial"/>
        </w:rPr>
        <w:t>C1</w:t>
      </w:r>
      <w:r>
        <w:rPr>
          <w:rFonts w:ascii="Arial" w:hAnsi="Arial" w:cs="Arial"/>
        </w:rPr>
        <w:t>.</w:t>
      </w:r>
      <w:r w:rsidRPr="00291A26">
        <w:rPr>
          <w:rFonts w:ascii="Arial" w:hAnsi="Arial" w:cs="Arial"/>
          <w:vertAlign w:val="superscript"/>
        </w:rPr>
        <w:t>1</w:t>
      </w:r>
      <w:r>
        <w:rPr>
          <w:rFonts w:ascii="Arial" w:hAnsi="Arial" w:cs="Arial"/>
          <w:vertAlign w:val="superscript"/>
        </w:rPr>
        <w:t xml:space="preserve"> </w:t>
      </w:r>
      <w:r w:rsidRPr="00291A26">
        <w:rPr>
          <w:rFonts w:ascii="Arial" w:hAnsi="Arial" w:cs="Arial"/>
        </w:rPr>
        <w:t>For</w:t>
      </w:r>
      <w:r w:rsidRPr="008278C9">
        <w:rPr>
          <w:rFonts w:ascii="Arial" w:hAnsi="Arial" w:cs="Arial"/>
        </w:rPr>
        <w:t xml:space="preserve"> a mixture of ideal gases, the partial pressure represents the pressure that each gas in the mixture would exert if it occupied the volume by itself at the same temperature.  At sufficiently low pressures, the gas molecules are sufficiently far apart that they do not interact.  However, as pressure (and gas density) increases, the gas molecules can experience attractive and/or repulsive forces from one another, leading to non-ideal behavior.</w:t>
      </w:r>
    </w:p>
    <w:p w:rsidR="004F0BA5" w:rsidRPr="00E52607" w:rsidRDefault="004F0BA5" w:rsidP="004F0BA5">
      <w:pPr>
        <w:pStyle w:val="ListParagraph"/>
        <w:numPr>
          <w:ilvl w:val="0"/>
          <w:numId w:val="3"/>
        </w:numPr>
        <w:ind w:left="714" w:hanging="357"/>
        <w:jc w:val="both"/>
        <w:rPr>
          <w:rFonts w:ascii="Arial" w:hAnsi="Arial" w:cs="Arial"/>
        </w:rPr>
      </w:pPr>
      <w:r w:rsidRPr="00B10169">
        <w:rPr>
          <w:rFonts w:ascii="Arial" w:hAnsi="Arial" w:cs="Arial"/>
        </w:rPr>
        <w:t xml:space="preserve">The </w:t>
      </w:r>
      <w:r w:rsidRPr="00B10169">
        <w:rPr>
          <w:rFonts w:ascii="Arial" w:hAnsi="Arial" w:cs="Arial"/>
          <w:b/>
          <w:bCs/>
          <w:i/>
          <w:iCs/>
        </w:rPr>
        <w:t>fugacity</w:t>
      </w:r>
      <w:r w:rsidRPr="00B10169">
        <w:rPr>
          <w:rFonts w:ascii="Arial" w:hAnsi="Arial" w:cs="Arial"/>
        </w:rPr>
        <w:t xml:space="preserve"> of H</w:t>
      </w:r>
      <w:r w:rsidRPr="007F1BCD">
        <w:rPr>
          <w:rFonts w:ascii="Arial" w:hAnsi="Arial" w:cs="Arial"/>
          <w:vertAlign w:val="subscript"/>
        </w:rPr>
        <w:t>2</w:t>
      </w:r>
      <w:r w:rsidRPr="007F1BCD">
        <w:rPr>
          <w:rFonts w:ascii="Arial" w:hAnsi="Arial" w:cs="Arial"/>
        </w:rPr>
        <w:t>S (</w:t>
      </w:r>
      <w:r w:rsidRPr="00C10FD7">
        <w:rPr>
          <w:i/>
        </w:rPr>
        <w:t>f</w:t>
      </w:r>
      <w:r w:rsidRPr="00C10FD7">
        <w:rPr>
          <w:i/>
          <w:vertAlign w:val="subscript"/>
        </w:rPr>
        <w:t>H</w:t>
      </w:r>
      <w:r w:rsidRPr="00C10FD7">
        <w:rPr>
          <w:i/>
          <w:sz w:val="18"/>
          <w:vertAlign w:val="subscript"/>
        </w:rPr>
        <w:t>2</w:t>
      </w:r>
      <w:r w:rsidRPr="00C10FD7">
        <w:rPr>
          <w:i/>
          <w:vertAlign w:val="subscript"/>
        </w:rPr>
        <w:t xml:space="preserve">S </w:t>
      </w:r>
      <w:r w:rsidRPr="00C10FD7">
        <w:rPr>
          <w:rFonts w:ascii="Arial" w:hAnsi="Arial" w:cs="Arial"/>
        </w:rPr>
        <w:t>or fH</w:t>
      </w:r>
      <w:r w:rsidRPr="00C10FD7">
        <w:rPr>
          <w:rFonts w:ascii="Arial" w:hAnsi="Arial" w:cs="Arial"/>
          <w:vertAlign w:val="subscript"/>
        </w:rPr>
        <w:t>2</w:t>
      </w:r>
      <w:r w:rsidRPr="00C10FD7">
        <w:rPr>
          <w:rFonts w:ascii="Arial" w:hAnsi="Arial" w:cs="Arial"/>
        </w:rPr>
        <w:t>S) represents the effective pressure of a real</w:t>
      </w:r>
      <w:r w:rsidRPr="008278C9">
        <w:rPr>
          <w:rFonts w:ascii="Arial" w:hAnsi="Arial" w:cs="Arial"/>
        </w:rPr>
        <w:t xml:space="preserve"> gas and is equal to the pressure of an ideal gas which has the same chemical potential as the real gas.  It is generally calculated from the total pressure, the mole fraction of H</w:t>
      </w:r>
      <w:r w:rsidRPr="008278C9">
        <w:rPr>
          <w:rFonts w:ascii="Arial" w:hAnsi="Arial" w:cs="Arial"/>
          <w:vertAlign w:val="subscript"/>
        </w:rPr>
        <w:t>2</w:t>
      </w:r>
      <w:r w:rsidRPr="008278C9">
        <w:rPr>
          <w:rFonts w:ascii="Arial" w:hAnsi="Arial" w:cs="Arial"/>
        </w:rPr>
        <w:t>S in the mixture and a fugacity coefficient,</w:t>
      </w:r>
      <w:r w:rsidRPr="009B3D59">
        <w:rPr>
          <w:rFonts w:ascii="Arial" w:hAnsi="Arial" w:cs="Arial"/>
          <w:i/>
        </w:rPr>
        <w:sym w:font="Symbol" w:char="F066"/>
      </w:r>
      <w:r w:rsidRPr="000B7DBE">
        <w:rPr>
          <w:i/>
          <w:sz w:val="22"/>
          <w:vertAlign w:val="subscript"/>
        </w:rPr>
        <w:t xml:space="preserve"> </w:t>
      </w:r>
      <w:r w:rsidRPr="00702AEB">
        <w:rPr>
          <w:i/>
          <w:sz w:val="22"/>
          <w:vertAlign w:val="subscript"/>
        </w:rPr>
        <w:t>H</w:t>
      </w:r>
      <w:r w:rsidRPr="00702AEB">
        <w:rPr>
          <w:i/>
          <w:sz w:val="16"/>
          <w:vertAlign w:val="subscript"/>
        </w:rPr>
        <w:t>2</w:t>
      </w:r>
      <w:r w:rsidRPr="00702AEB">
        <w:rPr>
          <w:i/>
          <w:sz w:val="22"/>
          <w:vertAlign w:val="subscript"/>
        </w:rPr>
        <w:t>S</w:t>
      </w:r>
      <w:r w:rsidRPr="000B7DBE">
        <w:rPr>
          <w:rFonts w:ascii="Arial" w:hAnsi="Arial" w:cs="Arial"/>
        </w:rPr>
        <w:t>:</w:t>
      </w:r>
    </w:p>
    <w:p w:rsidR="004F0BA5" w:rsidRPr="00E52607" w:rsidRDefault="004F0BA5" w:rsidP="004F0BA5">
      <w:pPr>
        <w:jc w:val="center"/>
        <w:rPr>
          <w:rFonts w:ascii="Arial" w:hAnsi="Arial" w:cs="Arial"/>
        </w:rPr>
      </w:pPr>
      <w:r w:rsidRPr="009B3D59">
        <w:rPr>
          <w:i/>
        </w:rPr>
        <w:t>f</w:t>
      </w:r>
      <w:r w:rsidRPr="009B3D59">
        <w:rPr>
          <w:i/>
          <w:vertAlign w:val="subscript"/>
        </w:rPr>
        <w:t>H</w:t>
      </w:r>
      <w:r w:rsidRPr="009B3D59">
        <w:rPr>
          <w:i/>
          <w:sz w:val="18"/>
          <w:vertAlign w:val="subscript"/>
        </w:rPr>
        <w:t>2</w:t>
      </w:r>
      <w:r w:rsidRPr="009B3D59">
        <w:rPr>
          <w:i/>
          <w:vertAlign w:val="subscript"/>
        </w:rPr>
        <w:t>S</w:t>
      </w:r>
      <w:r w:rsidRPr="00E52607">
        <w:rPr>
          <w:rFonts w:ascii="Arial" w:hAnsi="Arial" w:cs="Arial"/>
        </w:rPr>
        <w:t xml:space="preserve"> </w:t>
      </w:r>
      <w:r>
        <w:rPr>
          <w:rFonts w:ascii="Arial" w:hAnsi="Arial" w:cs="Arial"/>
        </w:rPr>
        <w:t xml:space="preserve">= </w:t>
      </w:r>
      <w:r w:rsidRPr="009B3D59">
        <w:rPr>
          <w:rFonts w:ascii="Arial" w:hAnsi="Arial" w:cs="Arial"/>
          <w:i/>
        </w:rPr>
        <w:sym w:font="Symbol" w:char="F066"/>
      </w:r>
      <w:r w:rsidRPr="000B7DBE">
        <w:rPr>
          <w:i/>
          <w:sz w:val="22"/>
          <w:vertAlign w:val="subscript"/>
        </w:rPr>
        <w:t xml:space="preserve"> </w:t>
      </w:r>
      <w:r w:rsidRPr="00702AEB">
        <w:rPr>
          <w:i/>
          <w:sz w:val="22"/>
          <w:vertAlign w:val="subscript"/>
        </w:rPr>
        <w:t>H</w:t>
      </w:r>
      <w:r w:rsidRPr="00702AEB">
        <w:rPr>
          <w:i/>
          <w:sz w:val="16"/>
          <w:vertAlign w:val="subscript"/>
        </w:rPr>
        <w:t>2</w:t>
      </w:r>
      <w:r w:rsidRPr="00702AEB">
        <w:rPr>
          <w:i/>
          <w:sz w:val="22"/>
          <w:vertAlign w:val="subscript"/>
        </w:rPr>
        <w:t>S</w:t>
      </w:r>
      <w:r w:rsidRPr="00E52607">
        <w:rPr>
          <w:rFonts w:ascii="Arial" w:hAnsi="Arial" w:cs="Arial"/>
        </w:rPr>
        <w:t xml:space="preserve"> </w:t>
      </w:r>
      <w:r w:rsidRPr="00702AEB">
        <w:rPr>
          <w:i/>
        </w:rPr>
        <w:t>y</w:t>
      </w:r>
      <w:r w:rsidRPr="00702AEB">
        <w:rPr>
          <w:i/>
          <w:sz w:val="22"/>
          <w:vertAlign w:val="subscript"/>
        </w:rPr>
        <w:t>H</w:t>
      </w:r>
      <w:r w:rsidRPr="00702AEB">
        <w:rPr>
          <w:i/>
          <w:sz w:val="16"/>
          <w:vertAlign w:val="subscript"/>
        </w:rPr>
        <w:t>2</w:t>
      </w:r>
      <w:r w:rsidRPr="00702AEB">
        <w:rPr>
          <w:i/>
          <w:sz w:val="22"/>
          <w:vertAlign w:val="subscript"/>
        </w:rPr>
        <w:t>S</w:t>
      </w:r>
      <w:r w:rsidRPr="00702AEB">
        <w:rPr>
          <w:i/>
        </w:rPr>
        <w:t xml:space="preserve"> P</w:t>
      </w:r>
    </w:p>
    <w:p w:rsidR="004F0BA5" w:rsidRPr="00E52607" w:rsidRDefault="004F0BA5" w:rsidP="004F0BA5">
      <w:pPr>
        <w:ind w:left="709"/>
        <w:jc w:val="both"/>
        <w:rPr>
          <w:rFonts w:ascii="Arial" w:hAnsi="Arial" w:cs="Arial"/>
        </w:rPr>
      </w:pPr>
      <w:r w:rsidRPr="008278C9">
        <w:rPr>
          <w:rFonts w:ascii="Arial" w:hAnsi="Arial" w:cs="Arial"/>
        </w:rPr>
        <w:t xml:space="preserve"> The fugacity coefficient is a function of temperature, pressure and composition, and is generally calculated using an equation-of-state. The concept of fugacity is applicable to all phases, and fugacity can be thought of as representing “escaping tendency” – the driver for a component to leave a phase.  At equilibrium, the fugacity for each component is the same in all phases of a mixture:</w:t>
      </w:r>
    </w:p>
    <w:p w:rsidR="004F0BA5" w:rsidRPr="00187536" w:rsidRDefault="00187536" w:rsidP="004F0BA5">
      <w:pPr>
        <w:jc w:val="center"/>
        <w:rPr>
          <w:rFonts w:ascii="Arial" w:hAnsi="Arial" w:cs="Arial"/>
        </w:rPr>
      </w:pPr>
      <m:oMathPara>
        <m:oMath>
          <m:sSubSup>
            <m:sSubSupPr>
              <m:ctrlPr>
                <w:rPr>
                  <w:rFonts w:ascii="Cambria Math" w:hAnsi="Arial" w:cs="Arial"/>
                  <w:i/>
                </w:rPr>
              </m:ctrlPr>
            </m:sSubSupPr>
            <m:e>
              <m:r>
                <w:rPr>
                  <w:rFonts w:ascii="Cambria Math" w:hAnsi="Cambria Math" w:cs="Arial"/>
                </w:rPr>
                <m:t>f</m:t>
              </m:r>
            </m:e>
            <m:sub>
              <m:r>
                <w:rPr>
                  <w:rFonts w:ascii="Cambria Math" w:hAnsi="Cambria Math" w:cs="Arial"/>
                </w:rPr>
                <m:t>H</m:t>
              </m:r>
              <m:r>
                <w:rPr>
                  <w:rFonts w:ascii="Cambria Math" w:hAnsi="Arial" w:cs="Arial"/>
                </w:rPr>
                <m:t>2</m:t>
              </m:r>
              <m:r>
                <w:rPr>
                  <w:rFonts w:ascii="Cambria Math" w:hAnsi="Cambria Math" w:cs="Arial"/>
                </w:rPr>
                <m:t>S</m:t>
              </m:r>
            </m:sub>
            <m:sup>
              <m:r>
                <w:rPr>
                  <w:rFonts w:ascii="Cambria Math" w:hAnsi="Cambria Math" w:cs="Arial"/>
                </w:rPr>
                <m:t>vapor</m:t>
              </m:r>
            </m:sup>
          </m:sSubSup>
          <m:r>
            <w:rPr>
              <w:rFonts w:ascii="Cambria Math" w:hAnsi="Arial" w:cs="Arial"/>
            </w:rPr>
            <m:t xml:space="preserve">= </m:t>
          </m:r>
          <m:sSubSup>
            <m:sSubSupPr>
              <m:ctrlPr>
                <w:rPr>
                  <w:rFonts w:ascii="Cambria Math" w:hAnsi="Arial" w:cs="Arial"/>
                  <w:i/>
                </w:rPr>
              </m:ctrlPr>
            </m:sSubSupPr>
            <m:e>
              <m:r>
                <w:rPr>
                  <w:rFonts w:ascii="Cambria Math" w:hAnsi="Cambria Math" w:cs="Arial"/>
                </w:rPr>
                <m:t>f</m:t>
              </m:r>
            </m:e>
            <m:sub>
              <m:r>
                <w:rPr>
                  <w:rFonts w:ascii="Cambria Math" w:hAnsi="Cambria Math" w:cs="Arial"/>
                </w:rPr>
                <m:t>H</m:t>
              </m:r>
              <m:r>
                <w:rPr>
                  <w:rFonts w:ascii="Cambria Math" w:hAnsi="Arial" w:cs="Arial"/>
                </w:rPr>
                <m:t>2</m:t>
              </m:r>
              <m:r>
                <w:rPr>
                  <w:rFonts w:ascii="Cambria Math" w:hAnsi="Cambria Math" w:cs="Arial"/>
                </w:rPr>
                <m:t>S</m:t>
              </m:r>
            </m:sub>
            <m:sup>
              <m:r>
                <w:rPr>
                  <w:rFonts w:ascii="Cambria Math" w:hAnsi="Cambria Math" w:cs="Arial"/>
                </w:rPr>
                <m:t>liquids</m:t>
              </m:r>
            </m:sup>
          </m:sSubSup>
        </m:oMath>
      </m:oMathPara>
    </w:p>
    <w:p w:rsidR="004F0BA5" w:rsidRDefault="004F0BA5" w:rsidP="004F0BA5">
      <w:pPr>
        <w:pStyle w:val="ListParagraph"/>
        <w:numPr>
          <w:ilvl w:val="0"/>
          <w:numId w:val="3"/>
        </w:numPr>
        <w:ind w:left="714" w:hanging="357"/>
        <w:contextualSpacing w:val="0"/>
        <w:jc w:val="both"/>
        <w:rPr>
          <w:rFonts w:ascii="Arial" w:hAnsi="Arial" w:cs="Arial"/>
        </w:rPr>
      </w:pPr>
      <w:r w:rsidRPr="00E52607">
        <w:rPr>
          <w:rFonts w:ascii="Arial" w:hAnsi="Arial" w:cs="Arial"/>
        </w:rPr>
        <w:lastRenderedPageBreak/>
        <w:t xml:space="preserve">The chemical </w:t>
      </w:r>
      <w:r w:rsidRPr="00E52607">
        <w:rPr>
          <w:rFonts w:ascii="Arial" w:hAnsi="Arial" w:cs="Arial"/>
          <w:b/>
          <w:bCs/>
          <w:i/>
          <w:iCs/>
        </w:rPr>
        <w:t>activity</w:t>
      </w:r>
      <w:r w:rsidRPr="00E52607">
        <w:rPr>
          <w:rFonts w:ascii="Arial" w:hAnsi="Arial" w:cs="Arial"/>
        </w:rPr>
        <w:t xml:space="preserve"> of H</w:t>
      </w:r>
      <w:r w:rsidRPr="00E52607">
        <w:rPr>
          <w:rFonts w:ascii="Arial" w:hAnsi="Arial" w:cs="Arial"/>
          <w:vertAlign w:val="subscript"/>
        </w:rPr>
        <w:t>2</w:t>
      </w:r>
      <w:r w:rsidRPr="00E52607">
        <w:rPr>
          <w:rFonts w:ascii="Arial" w:hAnsi="Arial" w:cs="Arial"/>
        </w:rPr>
        <w:t xml:space="preserve">S is defined as the ratio of the fugacity divided by the fugacity at a conveniently defined reference state.  Thus, the activity is unitless and is meaningless if the reference state is not specified.  Fugacities or activities are the proper thermodynamic parameters to use to represent chemical equilibria and chemical reactions.  </w:t>
      </w:r>
      <w:r>
        <w:rPr>
          <w:rFonts w:ascii="Arial" w:hAnsi="Arial" w:cs="Arial"/>
        </w:rPr>
        <w:t>Because</w:t>
      </w:r>
      <w:r w:rsidRPr="008278C9">
        <w:rPr>
          <w:rFonts w:ascii="Arial" w:hAnsi="Arial" w:cs="Arial"/>
        </w:rPr>
        <w:t xml:space="preserve"> </w:t>
      </w:r>
      <w:r>
        <w:rPr>
          <w:rFonts w:ascii="Arial" w:hAnsi="Arial" w:cs="Arial"/>
        </w:rPr>
        <w:t>the activ</w:t>
      </w:r>
      <w:r w:rsidRPr="008278C9">
        <w:rPr>
          <w:rFonts w:ascii="Arial" w:hAnsi="Arial" w:cs="Arial"/>
        </w:rPr>
        <w:t>ity is directly proportional</w:t>
      </w:r>
      <w:r>
        <w:rPr>
          <w:rFonts w:ascii="Arial" w:hAnsi="Arial" w:cs="Arial"/>
        </w:rPr>
        <w:t xml:space="preserve"> to the fugacity, only one parameter, the fugacity, is assessed in this work.</w:t>
      </w:r>
    </w:p>
    <w:p w:rsidR="004F0BA5" w:rsidRDefault="004F0BA5" w:rsidP="004F0BA5">
      <w:pPr>
        <w:pStyle w:val="ListParagraph"/>
        <w:numPr>
          <w:ilvl w:val="0"/>
          <w:numId w:val="3"/>
        </w:numPr>
        <w:ind w:left="714" w:hanging="534"/>
        <w:contextualSpacing w:val="0"/>
        <w:jc w:val="both"/>
        <w:rPr>
          <w:rFonts w:ascii="Arial" w:hAnsi="Arial" w:cs="Arial"/>
        </w:rPr>
      </w:pPr>
      <w:r w:rsidRPr="00742825">
        <w:rPr>
          <w:rFonts w:ascii="Arial" w:hAnsi="Arial" w:cs="Arial"/>
        </w:rPr>
        <w:t xml:space="preserve">The </w:t>
      </w:r>
      <w:r w:rsidRPr="00742825">
        <w:rPr>
          <w:rFonts w:ascii="Arial" w:hAnsi="Arial" w:cs="Arial"/>
          <w:b/>
          <w:bCs/>
          <w:i/>
          <w:iCs/>
        </w:rPr>
        <w:t xml:space="preserve">concentration </w:t>
      </w:r>
      <w:r w:rsidRPr="000B7DBE">
        <w:rPr>
          <w:rFonts w:ascii="Arial" w:hAnsi="Arial" w:cs="Arial"/>
          <w:bCs/>
          <w:i/>
          <w:iCs/>
        </w:rPr>
        <w:t>(</w:t>
      </w:r>
      <w:r w:rsidRPr="000B7DBE">
        <w:rPr>
          <w:bCs/>
          <w:i/>
          <w:iCs/>
        </w:rPr>
        <w:t>x</w:t>
      </w:r>
      <w:r w:rsidRPr="000B7DBE">
        <w:rPr>
          <w:i/>
          <w:sz w:val="22"/>
          <w:vertAlign w:val="subscript"/>
        </w:rPr>
        <w:t>H</w:t>
      </w:r>
      <w:r w:rsidRPr="000B7DBE">
        <w:rPr>
          <w:i/>
          <w:sz w:val="16"/>
          <w:vertAlign w:val="subscript"/>
        </w:rPr>
        <w:t>2</w:t>
      </w:r>
      <w:r w:rsidRPr="000B7DBE">
        <w:rPr>
          <w:i/>
          <w:sz w:val="22"/>
          <w:vertAlign w:val="subscript"/>
        </w:rPr>
        <w:t>S</w:t>
      </w:r>
      <w:r w:rsidRPr="008278C9">
        <w:rPr>
          <w:rFonts w:ascii="Arial" w:hAnsi="Arial" w:cs="Arial"/>
          <w:bCs/>
          <w:iCs/>
        </w:rPr>
        <w:t xml:space="preserve"> </w:t>
      </w:r>
      <w:r>
        <w:rPr>
          <w:rFonts w:ascii="Arial" w:hAnsi="Arial" w:cs="Arial"/>
          <w:bCs/>
          <w:iCs/>
        </w:rPr>
        <w:t>or xH</w:t>
      </w:r>
      <w:r w:rsidRPr="000B7DBE">
        <w:rPr>
          <w:rFonts w:ascii="Arial" w:hAnsi="Arial" w:cs="Arial"/>
          <w:bCs/>
          <w:iCs/>
          <w:vertAlign w:val="subscript"/>
        </w:rPr>
        <w:t>2</w:t>
      </w:r>
      <w:r>
        <w:rPr>
          <w:rFonts w:ascii="Arial" w:hAnsi="Arial" w:cs="Arial"/>
          <w:bCs/>
          <w:iCs/>
        </w:rPr>
        <w:t xml:space="preserve">S </w:t>
      </w:r>
      <w:r w:rsidRPr="008278C9">
        <w:rPr>
          <w:rFonts w:ascii="Arial" w:hAnsi="Arial" w:cs="Arial"/>
          <w:bCs/>
          <w:iCs/>
        </w:rPr>
        <w:t>or</w:t>
      </w:r>
      <w:r w:rsidRPr="008278C9">
        <w:rPr>
          <w:rFonts w:ascii="Arial" w:hAnsi="Arial" w:cs="Arial"/>
          <w:bCs/>
          <w:iCs/>
          <w:vertAlign w:val="subscript"/>
        </w:rPr>
        <w:t xml:space="preserve"> </w:t>
      </w:r>
      <w:r w:rsidRPr="00CE2279">
        <w:rPr>
          <w:rFonts w:ascii="Arial" w:hAnsi="Arial" w:cs="Arial"/>
          <w:bCs/>
          <w:iCs/>
        </w:rPr>
        <w:t>mg/</w:t>
      </w:r>
      <w:r>
        <w:rPr>
          <w:rFonts w:ascii="Arial" w:hAnsi="Arial" w:cs="Arial"/>
          <w:bCs/>
          <w:iCs/>
        </w:rPr>
        <w:t>L</w:t>
      </w:r>
      <w:r>
        <w:rPr>
          <w:rFonts w:ascii="Arial" w:hAnsi="Arial" w:cs="Arial"/>
          <w:bCs/>
          <w:iCs/>
          <w:vertAlign w:val="subscript"/>
        </w:rPr>
        <w:t xml:space="preserve">aq or </w:t>
      </w:r>
      <w:r w:rsidRPr="008278C9">
        <w:rPr>
          <w:rFonts w:ascii="Arial" w:hAnsi="Arial" w:cs="Arial"/>
          <w:bCs/>
          <w:iCs/>
        </w:rPr>
        <w:t>ppm</w:t>
      </w:r>
      <w:r w:rsidRPr="00CE2279">
        <w:rPr>
          <w:rFonts w:ascii="Arial" w:hAnsi="Arial" w:cs="Arial"/>
          <w:bCs/>
          <w:iCs/>
          <w:vertAlign w:val="subscript"/>
        </w:rPr>
        <w:t>aq</w:t>
      </w:r>
      <w:r w:rsidRPr="008278C9">
        <w:rPr>
          <w:rFonts w:ascii="Arial" w:hAnsi="Arial" w:cs="Arial"/>
          <w:bCs/>
          <w:iCs/>
        </w:rPr>
        <w:t xml:space="preserve">) </w:t>
      </w:r>
      <w:r w:rsidRPr="008278C9">
        <w:rPr>
          <w:rFonts w:ascii="Arial" w:hAnsi="Arial" w:cs="Arial"/>
        </w:rPr>
        <w:t>of H</w:t>
      </w:r>
      <w:r w:rsidRPr="008278C9">
        <w:rPr>
          <w:rFonts w:ascii="Arial" w:hAnsi="Arial" w:cs="Arial"/>
          <w:vertAlign w:val="subscript"/>
        </w:rPr>
        <w:t>2</w:t>
      </w:r>
      <w:r w:rsidRPr="008278C9">
        <w:rPr>
          <w:rFonts w:ascii="Arial" w:hAnsi="Arial" w:cs="Arial"/>
        </w:rPr>
        <w:t>S in the aqueous phase in equilibrium with the gas phase was also considered in this investigation.  For a given partial pressure of H</w:t>
      </w:r>
      <w:r w:rsidRPr="008278C9">
        <w:rPr>
          <w:rFonts w:ascii="Arial" w:hAnsi="Arial" w:cs="Arial"/>
          <w:vertAlign w:val="subscript"/>
        </w:rPr>
        <w:t>2</w:t>
      </w:r>
      <w:r w:rsidRPr="008278C9">
        <w:rPr>
          <w:rFonts w:ascii="Arial" w:hAnsi="Arial" w:cs="Arial"/>
        </w:rPr>
        <w:t>S, vapor phase composition, total pressure and temperature, the concentration of H</w:t>
      </w:r>
      <w:r w:rsidRPr="008278C9">
        <w:rPr>
          <w:rFonts w:ascii="Arial" w:hAnsi="Arial" w:cs="Arial"/>
          <w:vertAlign w:val="subscript"/>
        </w:rPr>
        <w:t>2</w:t>
      </w:r>
      <w:r w:rsidRPr="008278C9">
        <w:rPr>
          <w:rFonts w:ascii="Arial" w:hAnsi="Arial" w:cs="Arial"/>
        </w:rPr>
        <w:t xml:space="preserve">S in the brine can be calculated using an equation-of-state or </w:t>
      </w:r>
      <w:r>
        <w:rPr>
          <w:rFonts w:ascii="Arial" w:hAnsi="Arial" w:cs="Arial"/>
        </w:rPr>
        <w:t xml:space="preserve">an </w:t>
      </w:r>
      <w:r w:rsidRPr="008278C9">
        <w:rPr>
          <w:rFonts w:ascii="Arial" w:hAnsi="Arial" w:cs="Arial"/>
        </w:rPr>
        <w:t xml:space="preserve">extended Henry’s law approach incorporating the Poynting </w:t>
      </w:r>
      <w:r>
        <w:rPr>
          <w:rFonts w:ascii="Arial" w:hAnsi="Arial" w:cs="Arial"/>
        </w:rPr>
        <w:t>correction factor.</w:t>
      </w:r>
      <w:r w:rsidRPr="00291A26">
        <w:rPr>
          <w:rFonts w:ascii="Arial" w:hAnsi="Arial" w:cs="Arial"/>
          <w:vertAlign w:val="superscript"/>
        </w:rPr>
        <w:t>2</w:t>
      </w:r>
      <w:r>
        <w:rPr>
          <w:rFonts w:ascii="Arial" w:hAnsi="Arial" w:cs="Arial"/>
          <w:vertAlign w:val="superscript"/>
        </w:rPr>
        <w:t xml:space="preserve"> </w:t>
      </w:r>
      <w:r w:rsidRPr="008278C9">
        <w:rPr>
          <w:rFonts w:ascii="Arial" w:hAnsi="Arial" w:cs="Arial"/>
        </w:rPr>
        <w:t>Phase equilibrium calculations are normally done using mole fractions to represent concentrations in all phases</w:t>
      </w:r>
      <w:r w:rsidRPr="008278C9">
        <w:rPr>
          <w:rFonts w:ascii="Arial" w:hAnsi="Arial" w:cs="Arial"/>
          <w:b/>
          <w:bCs/>
          <w:i/>
          <w:iCs/>
        </w:rPr>
        <w:t xml:space="preserve">. </w:t>
      </w:r>
      <w:r w:rsidRPr="008278C9">
        <w:rPr>
          <w:rFonts w:ascii="Arial" w:hAnsi="Arial" w:cs="Arial"/>
          <w:bCs/>
          <w:iCs/>
        </w:rPr>
        <w:t>For</w:t>
      </w:r>
      <w:r w:rsidRPr="008278C9">
        <w:rPr>
          <w:rFonts w:ascii="Arial" w:hAnsi="Arial" w:cs="Arial"/>
          <w:bCs/>
          <w:iCs/>
          <w:vertAlign w:val="subscript"/>
        </w:rPr>
        <w:t xml:space="preserve"> </w:t>
      </w:r>
      <w:r w:rsidRPr="008278C9">
        <w:rPr>
          <w:rFonts w:ascii="Arial" w:hAnsi="Arial" w:cs="Arial"/>
          <w:bCs/>
          <w:iCs/>
        </w:rPr>
        <w:t>convenienc</w:t>
      </w:r>
      <w:r w:rsidRPr="008278C9">
        <w:rPr>
          <w:rFonts w:ascii="Arial" w:hAnsi="Arial" w:cs="Arial"/>
        </w:rPr>
        <w:t>e, the H</w:t>
      </w:r>
      <w:r w:rsidRPr="008278C9">
        <w:rPr>
          <w:rFonts w:ascii="Arial" w:hAnsi="Arial" w:cs="Arial"/>
          <w:vertAlign w:val="subscript"/>
        </w:rPr>
        <w:t>2</w:t>
      </w:r>
      <w:r w:rsidRPr="008278C9">
        <w:rPr>
          <w:rFonts w:ascii="Arial" w:hAnsi="Arial" w:cs="Arial"/>
        </w:rPr>
        <w:t>S mole fractions in the brine have been converted to alternative units (e.g. mg/L) using calculated densities. In this work, concentration was calculated using an</w:t>
      </w:r>
      <w:r>
        <w:rPr>
          <w:rFonts w:ascii="Arial" w:hAnsi="Arial" w:cs="Arial"/>
        </w:rPr>
        <w:t xml:space="preserve"> equation-of-state approach.</w:t>
      </w:r>
      <w:r w:rsidRPr="00291A26">
        <w:rPr>
          <w:rFonts w:ascii="Arial" w:hAnsi="Arial" w:cs="Arial"/>
          <w:vertAlign w:val="superscript"/>
        </w:rPr>
        <w:t>3</w:t>
      </w:r>
      <w:r>
        <w:rPr>
          <w:rFonts w:ascii="Arial" w:hAnsi="Arial" w:cs="Arial"/>
        </w:rPr>
        <w:t xml:space="preserve"> </w:t>
      </w:r>
    </w:p>
    <w:p w:rsidR="004F0BA5" w:rsidRPr="00F6217D" w:rsidRDefault="004F0BA5" w:rsidP="004F0BA5">
      <w:pPr>
        <w:ind w:left="180"/>
        <w:jc w:val="both"/>
        <w:rPr>
          <w:rFonts w:ascii="Arial" w:hAnsi="Arial" w:cs="Arial"/>
        </w:rPr>
      </w:pPr>
    </w:p>
    <w:p w:rsidR="004F0BA5" w:rsidRPr="00E52607" w:rsidRDefault="004F0BA5" w:rsidP="004F0BA5">
      <w:pPr>
        <w:spacing w:after="120"/>
        <w:jc w:val="both"/>
        <w:rPr>
          <w:rFonts w:ascii="Arial" w:hAnsi="Arial" w:cs="Arial"/>
        </w:rPr>
      </w:pPr>
      <w:r w:rsidRPr="008278C9">
        <w:rPr>
          <w:rFonts w:ascii="Arial" w:hAnsi="Arial" w:cs="Arial"/>
        </w:rPr>
        <w:t xml:space="preserve">A series of thermodynamic calculations was performed using </w:t>
      </w:r>
      <w:r>
        <w:rPr>
          <w:rFonts w:ascii="Arial" w:hAnsi="Arial" w:cs="Arial"/>
        </w:rPr>
        <w:t xml:space="preserve">a proprietary cubic equation-of-state.  The equation-of-state </w:t>
      </w:r>
      <w:r w:rsidRPr="008278C9">
        <w:rPr>
          <w:rFonts w:ascii="Arial" w:hAnsi="Arial" w:cs="Arial"/>
        </w:rPr>
        <w:t>parameters have been validated for modeling mixtures of H</w:t>
      </w:r>
      <w:r w:rsidRPr="008278C9">
        <w:rPr>
          <w:rFonts w:ascii="Arial" w:hAnsi="Arial" w:cs="Arial"/>
          <w:vertAlign w:val="subscript"/>
        </w:rPr>
        <w:t>2</w:t>
      </w:r>
      <w:r w:rsidRPr="008278C9">
        <w:rPr>
          <w:rFonts w:ascii="Arial" w:hAnsi="Arial" w:cs="Arial"/>
        </w:rPr>
        <w:t>S with water and hydrocarbons</w:t>
      </w:r>
      <w:r>
        <w:rPr>
          <w:rFonts w:ascii="Arial" w:hAnsi="Arial" w:cs="Arial"/>
        </w:rPr>
        <w:t xml:space="preserve"> in the range of tests performed herein</w:t>
      </w:r>
      <w:r w:rsidRPr="00742825">
        <w:rPr>
          <w:rFonts w:ascii="Arial" w:hAnsi="Arial" w:cs="Arial"/>
        </w:rPr>
        <w:t>.</w:t>
      </w:r>
      <w:r w:rsidRPr="008278C9">
        <w:rPr>
          <w:rFonts w:ascii="Arial" w:hAnsi="Arial" w:cs="Arial"/>
        </w:rPr>
        <w:t xml:space="preserve"> These calculations were</w:t>
      </w:r>
      <w:r w:rsidRPr="008278C9">
        <w:rPr>
          <w:rFonts w:ascii="Arial" w:hAnsi="Arial" w:cs="Arial"/>
          <w:vertAlign w:val="subscript"/>
        </w:rPr>
        <w:t xml:space="preserve"> </w:t>
      </w:r>
      <w:r w:rsidRPr="00742825">
        <w:rPr>
          <w:rFonts w:ascii="Arial" w:hAnsi="Arial" w:cs="Arial"/>
        </w:rPr>
        <w:t>performed to predict H</w:t>
      </w:r>
      <w:r w:rsidRPr="00742825">
        <w:rPr>
          <w:rFonts w:ascii="Arial" w:hAnsi="Arial" w:cs="Arial"/>
          <w:vertAlign w:val="subscript"/>
        </w:rPr>
        <w:t>2</w:t>
      </w:r>
      <w:r w:rsidRPr="00742825">
        <w:rPr>
          <w:rFonts w:ascii="Arial" w:hAnsi="Arial" w:cs="Arial"/>
        </w:rPr>
        <w:t>S fugacity and aqueous solubility as a function of gas composition</w:t>
      </w:r>
      <w:r>
        <w:rPr>
          <w:rFonts w:ascii="Arial" w:hAnsi="Arial" w:cs="Arial"/>
        </w:rPr>
        <w:t xml:space="preserve"> (balance methane)</w:t>
      </w:r>
      <w:r w:rsidRPr="00742825">
        <w:rPr>
          <w:rFonts w:ascii="Arial" w:hAnsi="Arial" w:cs="Arial"/>
        </w:rPr>
        <w:t xml:space="preserve"> and total system pressure</w:t>
      </w:r>
      <w:r>
        <w:rPr>
          <w:rFonts w:ascii="Arial" w:hAnsi="Arial" w:cs="Arial"/>
        </w:rPr>
        <w:t xml:space="preserve"> (up to 1400 bar)</w:t>
      </w:r>
      <w:r w:rsidRPr="00742825">
        <w:rPr>
          <w:rFonts w:ascii="Arial" w:hAnsi="Arial" w:cs="Arial"/>
        </w:rPr>
        <w:t>, at a fixed temperature (</w:t>
      </w:r>
      <w:r>
        <w:rPr>
          <w:rFonts w:ascii="Arial" w:hAnsi="Arial" w:cs="Arial"/>
        </w:rPr>
        <w:t>2</w:t>
      </w:r>
      <w:r w:rsidRPr="008278C9">
        <w:rPr>
          <w:rFonts w:ascii="Arial" w:hAnsi="Arial" w:cs="Arial"/>
        </w:rPr>
        <w:t>5</w:t>
      </w:r>
      <w:r>
        <w:rPr>
          <w:rFonts w:ascii="Arial" w:hAnsi="Arial" w:cs="Arial"/>
        </w:rPr>
        <w:t xml:space="preserve">°C) and a fixed </w:t>
      </w:r>
      <w:r w:rsidRPr="00742825">
        <w:rPr>
          <w:rFonts w:ascii="Arial" w:hAnsi="Arial" w:cs="Arial"/>
        </w:rPr>
        <w:t>H</w:t>
      </w:r>
      <w:r w:rsidRPr="00742825">
        <w:rPr>
          <w:rFonts w:ascii="Arial" w:hAnsi="Arial" w:cs="Arial"/>
          <w:vertAlign w:val="subscript"/>
        </w:rPr>
        <w:t>2</w:t>
      </w:r>
      <w:r w:rsidRPr="00742825">
        <w:rPr>
          <w:rFonts w:ascii="Arial" w:hAnsi="Arial" w:cs="Arial"/>
        </w:rPr>
        <w:t>S partial pressure</w:t>
      </w:r>
      <w:r>
        <w:rPr>
          <w:rFonts w:ascii="Arial" w:hAnsi="Arial" w:cs="Arial"/>
        </w:rPr>
        <w:t xml:space="preserve"> (0.3 kPa)</w:t>
      </w:r>
      <w:r w:rsidRPr="008278C9">
        <w:rPr>
          <w:rFonts w:ascii="Arial" w:hAnsi="Arial" w:cs="Arial"/>
        </w:rPr>
        <w:t>.  The results</w:t>
      </w:r>
      <w:r>
        <w:rPr>
          <w:rFonts w:ascii="Arial" w:hAnsi="Arial" w:cs="Arial"/>
        </w:rPr>
        <w:t>,</w:t>
      </w:r>
      <w:r w:rsidRPr="008278C9">
        <w:rPr>
          <w:rFonts w:ascii="Arial" w:hAnsi="Arial" w:cs="Arial"/>
        </w:rPr>
        <w:t xml:space="preserve"> shown in Figure 1</w:t>
      </w:r>
      <w:r>
        <w:rPr>
          <w:rFonts w:ascii="Arial" w:hAnsi="Arial" w:cs="Arial"/>
        </w:rPr>
        <w:t>, indicate that any increase in total pressure up to at least 1400 bar provides lower values of fH</w:t>
      </w:r>
      <w:r w:rsidRPr="008278C9">
        <w:rPr>
          <w:rFonts w:ascii="Arial" w:hAnsi="Arial" w:cs="Arial"/>
          <w:vertAlign w:val="subscript"/>
        </w:rPr>
        <w:t>2</w:t>
      </w:r>
      <w:r>
        <w:rPr>
          <w:rFonts w:ascii="Arial" w:hAnsi="Arial" w:cs="Arial"/>
        </w:rPr>
        <w:t xml:space="preserve">S and </w:t>
      </w:r>
      <w:r>
        <w:rPr>
          <w:rFonts w:ascii="Arial" w:hAnsi="Arial" w:cs="Arial"/>
          <w:bCs/>
          <w:iCs/>
        </w:rPr>
        <w:t>xH</w:t>
      </w:r>
      <w:r w:rsidRPr="000B7DBE">
        <w:rPr>
          <w:rFonts w:ascii="Arial" w:hAnsi="Arial" w:cs="Arial"/>
          <w:bCs/>
          <w:iCs/>
          <w:vertAlign w:val="subscript"/>
        </w:rPr>
        <w:t>2</w:t>
      </w:r>
      <w:r>
        <w:rPr>
          <w:rFonts w:ascii="Arial" w:hAnsi="Arial" w:cs="Arial"/>
          <w:bCs/>
          <w:iCs/>
        </w:rPr>
        <w:t>S</w:t>
      </w:r>
      <w:r>
        <w:rPr>
          <w:rFonts w:ascii="Arial" w:hAnsi="Arial" w:cs="Arial"/>
        </w:rPr>
        <w:t xml:space="preserve"> relative to their values at ambient pressure.  Thus, these alternative parameters would suggest a less severe condition relative to a traditional NACE sour lab test at ambient pressure. Differentiating between pH</w:t>
      </w:r>
      <w:r w:rsidRPr="008278C9">
        <w:rPr>
          <w:rFonts w:ascii="Arial" w:hAnsi="Arial" w:cs="Arial"/>
          <w:vertAlign w:val="subscript"/>
        </w:rPr>
        <w:t>2</w:t>
      </w:r>
      <w:r>
        <w:rPr>
          <w:rFonts w:ascii="Arial" w:hAnsi="Arial" w:cs="Arial"/>
        </w:rPr>
        <w:t>S, fH</w:t>
      </w:r>
      <w:r w:rsidRPr="00AE6395">
        <w:rPr>
          <w:rFonts w:ascii="Arial" w:hAnsi="Arial" w:cs="Arial"/>
          <w:vertAlign w:val="subscript"/>
        </w:rPr>
        <w:t>2</w:t>
      </w:r>
      <w:r>
        <w:rPr>
          <w:rFonts w:ascii="Arial" w:hAnsi="Arial" w:cs="Arial"/>
        </w:rPr>
        <w:t>S, and xH</w:t>
      </w:r>
      <w:r w:rsidRPr="008278C9">
        <w:rPr>
          <w:rFonts w:ascii="Arial" w:hAnsi="Arial" w:cs="Arial"/>
          <w:vertAlign w:val="subscript"/>
        </w:rPr>
        <w:t>2</w:t>
      </w:r>
      <w:r>
        <w:rPr>
          <w:rFonts w:ascii="Arial" w:hAnsi="Arial" w:cs="Arial"/>
        </w:rPr>
        <w:t>S as a controlling parameter may require tests at system pressures of at least 500 bar.</w:t>
      </w:r>
    </w:p>
    <w:tbl>
      <w:tblPr>
        <w:tblW w:w="0" w:type="auto"/>
        <w:tblLook w:val="04A0" w:firstRow="1" w:lastRow="0" w:firstColumn="1" w:lastColumn="0" w:noHBand="0" w:noVBand="1"/>
      </w:tblPr>
      <w:tblGrid>
        <w:gridCol w:w="9180"/>
      </w:tblGrid>
      <w:tr w:rsidR="004F0BA5" w:rsidRPr="00E52607" w:rsidTr="0037435A">
        <w:trPr>
          <w:trHeight w:val="3838"/>
        </w:trPr>
        <w:tc>
          <w:tcPr>
            <w:tcW w:w="9180" w:type="dxa"/>
          </w:tcPr>
          <w:p w:rsidR="004F0BA5" w:rsidRPr="00743690" w:rsidRDefault="00187536" w:rsidP="005E4432">
            <w:pPr>
              <w:pStyle w:val="Flienach"/>
              <w:ind w:left="426" w:hanging="426"/>
              <w:jc w:val="center"/>
              <w:rPr>
                <w:rFonts w:ascii="Arial" w:hAnsi="Arial" w:cs="Arial"/>
                <w:b/>
                <w:color w:val="0070C0"/>
              </w:rPr>
            </w:pPr>
            <w:r>
              <w:rPr>
                <w:rFonts w:ascii="Arial" w:hAnsi="Arial" w:cs="Arial"/>
                <w:noProof/>
                <w:lang w:eastAsia="en-US"/>
              </w:rPr>
              <w:drawing>
                <wp:anchor distT="0" distB="0" distL="114300" distR="114300" simplePos="0" relativeHeight="251653120" behindDoc="0" locked="0" layoutInCell="1" allowOverlap="1">
                  <wp:simplePos x="0" y="0"/>
                  <wp:positionH relativeFrom="column">
                    <wp:posOffset>1052195</wp:posOffset>
                  </wp:positionH>
                  <wp:positionV relativeFrom="paragraph">
                    <wp:posOffset>0</wp:posOffset>
                  </wp:positionV>
                  <wp:extent cx="3686175" cy="3067050"/>
                  <wp:effectExtent l="0" t="0" r="9525" b="0"/>
                  <wp:wrapTopAndBottom/>
                  <wp:docPr id="1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6175" cy="3067050"/>
                          </a:xfrm>
                          <a:prstGeom prst="rect">
                            <a:avLst/>
                          </a:prstGeom>
                          <a:noFill/>
                        </pic:spPr>
                      </pic:pic>
                    </a:graphicData>
                  </a:graphic>
                  <wp14:sizeRelH relativeFrom="page">
                    <wp14:pctWidth>0</wp14:pctWidth>
                  </wp14:sizeRelH>
                  <wp14:sizeRelV relativeFrom="page">
                    <wp14:pctHeight>0</wp14:pctHeight>
                  </wp14:sizeRelV>
                </wp:anchor>
              </w:drawing>
            </w:r>
            <w:r w:rsidR="004F0BA5" w:rsidRPr="00743690">
              <w:rPr>
                <w:rFonts w:ascii="Arial" w:hAnsi="Arial" w:cs="Arial"/>
                <w:b/>
              </w:rPr>
              <w:t>Figure 1: Ratio of pH</w:t>
            </w:r>
            <w:r w:rsidR="004F0BA5" w:rsidRPr="00743690">
              <w:rPr>
                <w:rFonts w:ascii="Arial" w:hAnsi="Arial" w:cs="Arial"/>
                <w:b/>
                <w:vertAlign w:val="subscript"/>
              </w:rPr>
              <w:t>2</w:t>
            </w:r>
            <w:r w:rsidR="004F0BA5" w:rsidRPr="00743690">
              <w:rPr>
                <w:rFonts w:ascii="Arial" w:hAnsi="Arial" w:cs="Arial"/>
                <w:b/>
              </w:rPr>
              <w:t>S, fH</w:t>
            </w:r>
            <w:r w:rsidR="004F0BA5" w:rsidRPr="00743690">
              <w:rPr>
                <w:rFonts w:ascii="Arial" w:hAnsi="Arial" w:cs="Arial"/>
                <w:b/>
                <w:vertAlign w:val="subscript"/>
              </w:rPr>
              <w:t>2</w:t>
            </w:r>
            <w:r w:rsidR="004F0BA5" w:rsidRPr="00743690">
              <w:rPr>
                <w:rFonts w:ascii="Arial" w:hAnsi="Arial" w:cs="Arial"/>
                <w:b/>
              </w:rPr>
              <w:t>S, and xH</w:t>
            </w:r>
            <w:r w:rsidR="004F0BA5" w:rsidRPr="00743690">
              <w:rPr>
                <w:rFonts w:ascii="Arial" w:hAnsi="Arial" w:cs="Arial"/>
                <w:b/>
                <w:vertAlign w:val="subscript"/>
              </w:rPr>
              <w:t>2</w:t>
            </w:r>
            <w:r w:rsidR="004F0BA5" w:rsidRPr="00743690">
              <w:rPr>
                <w:rFonts w:ascii="Arial" w:hAnsi="Arial" w:cs="Arial"/>
                <w:b/>
              </w:rPr>
              <w:t>S to their value at a 1 bar pressure for a 0.3 kPa H</w:t>
            </w:r>
            <w:r w:rsidR="004F0BA5" w:rsidRPr="00743690">
              <w:rPr>
                <w:rFonts w:ascii="Arial" w:hAnsi="Arial" w:cs="Arial"/>
                <w:b/>
                <w:vertAlign w:val="subscript"/>
              </w:rPr>
              <w:t>2</w:t>
            </w:r>
            <w:r w:rsidR="004F0BA5" w:rsidRPr="00743690">
              <w:rPr>
                <w:rFonts w:ascii="Arial" w:hAnsi="Arial" w:cs="Arial"/>
                <w:b/>
              </w:rPr>
              <w:t>S (balance methane) gas at an increasing total pressure at 25°C.</w:t>
            </w:r>
          </w:p>
        </w:tc>
      </w:tr>
    </w:tbl>
    <w:p w:rsidR="001D4B82" w:rsidRDefault="001D4B82" w:rsidP="001D4B82">
      <w:pPr>
        <w:jc w:val="both"/>
        <w:rPr>
          <w:rFonts w:ascii="Arial" w:hAnsi="Arial" w:cs="Arial"/>
          <w:b/>
          <w:sz w:val="22"/>
          <w:szCs w:val="22"/>
        </w:rPr>
      </w:pPr>
    </w:p>
    <w:p w:rsidR="001D4B82" w:rsidRDefault="001D4B82" w:rsidP="001D4B82">
      <w:pPr>
        <w:jc w:val="both"/>
        <w:rPr>
          <w:rFonts w:ascii="Arial" w:hAnsi="Arial" w:cs="Arial"/>
          <w:b/>
          <w:sz w:val="22"/>
          <w:szCs w:val="22"/>
        </w:rPr>
      </w:pPr>
    </w:p>
    <w:p w:rsidR="001D4B82" w:rsidRDefault="001D4B82" w:rsidP="001D4B82">
      <w:pPr>
        <w:jc w:val="both"/>
        <w:rPr>
          <w:rFonts w:ascii="Arial" w:hAnsi="Arial" w:cs="Arial"/>
          <w:sz w:val="22"/>
          <w:szCs w:val="22"/>
        </w:rPr>
      </w:pPr>
      <w:r w:rsidRPr="00F87B7B">
        <w:rPr>
          <w:rFonts w:ascii="Arial" w:hAnsi="Arial" w:cs="Arial"/>
          <w:sz w:val="22"/>
          <w:szCs w:val="22"/>
        </w:rPr>
        <w:lastRenderedPageBreak/>
        <w:t xml:space="preserve">     </w:t>
      </w:r>
    </w:p>
    <w:p w:rsidR="001D4B82" w:rsidRPr="00F87B7B" w:rsidRDefault="00CE0D6B" w:rsidP="001D4B82">
      <w:pPr>
        <w:pStyle w:val="Heading3"/>
        <w:spacing w:before="0" w:after="0"/>
        <w:jc w:val="center"/>
        <w:rPr>
          <w:sz w:val="22"/>
          <w:szCs w:val="22"/>
        </w:rPr>
      </w:pPr>
      <w:r>
        <w:rPr>
          <w:sz w:val="22"/>
          <w:szCs w:val="22"/>
        </w:rPr>
        <w:t>RESULTS OF TEST PROGRAM</w:t>
      </w:r>
    </w:p>
    <w:p w:rsidR="001D4B82" w:rsidRDefault="001D4B82" w:rsidP="001D4B82">
      <w:pPr>
        <w:jc w:val="both"/>
        <w:rPr>
          <w:rFonts w:ascii="Arial" w:hAnsi="Arial" w:cs="Arial"/>
          <w:sz w:val="22"/>
          <w:szCs w:val="22"/>
        </w:rPr>
      </w:pPr>
    </w:p>
    <w:p w:rsidR="00332EAA" w:rsidRDefault="003A6E7B" w:rsidP="00332EAA">
      <w:pPr>
        <w:spacing w:after="120"/>
        <w:jc w:val="both"/>
        <w:rPr>
          <w:rFonts w:ascii="Arial" w:hAnsi="Arial" w:cs="Arial"/>
          <w:iCs/>
          <w:lang w:val="en-GB"/>
        </w:rPr>
      </w:pPr>
      <w:r>
        <w:rPr>
          <w:rFonts w:ascii="Arial" w:hAnsi="Arial" w:cs="Arial"/>
          <w:iCs/>
        </w:rPr>
        <w:t>A</w:t>
      </w:r>
      <w:r w:rsidR="00332EAA" w:rsidRPr="009A3B46">
        <w:rPr>
          <w:rFonts w:ascii="Arial" w:hAnsi="Arial" w:cs="Arial"/>
          <w:iCs/>
        </w:rPr>
        <w:t xml:space="preserve"> laboratory test program that investigated the SSC response of an alloy steel as a function of </w:t>
      </w:r>
      <w:r w:rsidR="00332EAA" w:rsidRPr="00450519">
        <w:rPr>
          <w:rFonts w:ascii="Arial" w:hAnsi="Arial" w:cs="Arial"/>
          <w:iCs/>
        </w:rPr>
        <w:t>physical chemistry parameters of H</w:t>
      </w:r>
      <w:r w:rsidR="00332EAA" w:rsidRPr="00450519">
        <w:rPr>
          <w:rFonts w:ascii="Arial" w:hAnsi="Arial" w:cs="Arial"/>
          <w:iCs/>
          <w:vertAlign w:val="subscript"/>
        </w:rPr>
        <w:t>2</w:t>
      </w:r>
      <w:r w:rsidR="00332EAA" w:rsidRPr="009A3B46">
        <w:rPr>
          <w:rFonts w:ascii="Arial" w:hAnsi="Arial" w:cs="Arial"/>
          <w:iCs/>
        </w:rPr>
        <w:t>S</w:t>
      </w:r>
      <w:r>
        <w:rPr>
          <w:rFonts w:ascii="Arial" w:hAnsi="Arial" w:cs="Arial"/>
          <w:iCs/>
        </w:rPr>
        <w:t xml:space="preserve"> was reported </w:t>
      </w:r>
      <w:r w:rsidR="00332EAA" w:rsidRPr="003A6E7B">
        <w:rPr>
          <w:rFonts w:ascii="Arial" w:hAnsi="Arial" w:cs="Arial"/>
          <w:iCs/>
          <w:vertAlign w:val="superscript"/>
        </w:rPr>
        <w:t>4</w:t>
      </w:r>
      <w:r w:rsidR="00332EAA" w:rsidRPr="009A3B46">
        <w:rPr>
          <w:rFonts w:ascii="Arial" w:hAnsi="Arial" w:cs="Arial"/>
          <w:iCs/>
        </w:rPr>
        <w:t xml:space="preserve">.  </w:t>
      </w:r>
      <w:r w:rsidR="00332EAA" w:rsidRPr="008278C9">
        <w:rPr>
          <w:rFonts w:ascii="Arial" w:hAnsi="Arial" w:cs="Arial"/>
          <w:iCs/>
        </w:rPr>
        <w:t>The objective of th</w:t>
      </w:r>
      <w:r w:rsidR="00332EAA">
        <w:rPr>
          <w:rFonts w:ascii="Arial" w:hAnsi="Arial" w:cs="Arial"/>
          <w:iCs/>
        </w:rPr>
        <w:t>e</w:t>
      </w:r>
      <w:r w:rsidR="00332EAA" w:rsidRPr="008278C9">
        <w:rPr>
          <w:rFonts w:ascii="Arial" w:hAnsi="Arial" w:cs="Arial"/>
          <w:iCs/>
        </w:rPr>
        <w:t xml:space="preserve"> program was to see which physical chemistry parameter of hydrogen sulfide had the greatest influence on the sulfide stress cracking of a casing grade steel.  Key to th</w:t>
      </w:r>
      <w:r w:rsidR="00332EAA">
        <w:rPr>
          <w:rFonts w:ascii="Arial" w:hAnsi="Arial" w:cs="Arial"/>
          <w:iCs/>
        </w:rPr>
        <w:t>e</w:t>
      </w:r>
      <w:r w:rsidR="00332EAA" w:rsidRPr="008278C9">
        <w:rPr>
          <w:rFonts w:ascii="Arial" w:hAnsi="Arial" w:cs="Arial"/>
          <w:iCs/>
        </w:rPr>
        <w:t xml:space="preserve"> program was to minimize variability between tests and to control the H</w:t>
      </w:r>
      <w:r w:rsidR="00332EAA" w:rsidRPr="008278C9">
        <w:rPr>
          <w:rFonts w:ascii="Arial" w:hAnsi="Arial" w:cs="Arial"/>
          <w:iCs/>
          <w:vertAlign w:val="subscript"/>
        </w:rPr>
        <w:t>2</w:t>
      </w:r>
      <w:r w:rsidR="00332EAA" w:rsidRPr="008278C9">
        <w:rPr>
          <w:rFonts w:ascii="Arial" w:hAnsi="Arial" w:cs="Arial"/>
          <w:iCs/>
        </w:rPr>
        <w:t xml:space="preserve">S environments during the testing.  Those items that remained constant were: </w:t>
      </w:r>
      <w:r>
        <w:rPr>
          <w:rFonts w:ascii="Arial" w:hAnsi="Arial" w:cs="Arial"/>
          <w:iCs/>
        </w:rPr>
        <w:t>test m</w:t>
      </w:r>
      <w:r w:rsidR="00332EAA" w:rsidRPr="008278C9">
        <w:rPr>
          <w:rFonts w:ascii="Arial" w:hAnsi="Arial" w:cs="Arial"/>
          <w:iCs/>
        </w:rPr>
        <w:t>aterial</w:t>
      </w:r>
      <w:r>
        <w:rPr>
          <w:rFonts w:ascii="Arial" w:hAnsi="Arial" w:cs="Arial"/>
          <w:iCs/>
        </w:rPr>
        <w:t>; t</w:t>
      </w:r>
      <w:r w:rsidR="00332EAA" w:rsidRPr="008278C9">
        <w:rPr>
          <w:rFonts w:ascii="Arial" w:hAnsi="Arial" w:cs="Arial"/>
          <w:iCs/>
        </w:rPr>
        <w:t>est vessel</w:t>
      </w:r>
      <w:r>
        <w:rPr>
          <w:rFonts w:ascii="Arial" w:hAnsi="Arial" w:cs="Arial"/>
          <w:iCs/>
        </w:rPr>
        <w:t xml:space="preserve">; </w:t>
      </w:r>
      <w:r w:rsidR="001F36F1">
        <w:rPr>
          <w:rFonts w:ascii="Arial" w:hAnsi="Arial" w:cs="Arial"/>
          <w:iCs/>
        </w:rPr>
        <w:t xml:space="preserve">type and number of </w:t>
      </w:r>
      <w:r>
        <w:rPr>
          <w:rFonts w:ascii="Arial" w:hAnsi="Arial" w:cs="Arial"/>
          <w:iCs/>
        </w:rPr>
        <w:t>s</w:t>
      </w:r>
      <w:r w:rsidR="00332EAA" w:rsidRPr="008278C9">
        <w:rPr>
          <w:rFonts w:ascii="Arial" w:hAnsi="Arial" w:cs="Arial"/>
          <w:iCs/>
        </w:rPr>
        <w:t>pecimens</w:t>
      </w:r>
      <w:r>
        <w:rPr>
          <w:rFonts w:ascii="Arial" w:hAnsi="Arial" w:cs="Arial"/>
          <w:iCs/>
        </w:rPr>
        <w:t>; t</w:t>
      </w:r>
      <w:r w:rsidR="00332EAA" w:rsidRPr="008278C9">
        <w:rPr>
          <w:rFonts w:ascii="Arial" w:hAnsi="Arial" w:cs="Arial"/>
          <w:iCs/>
        </w:rPr>
        <w:t xml:space="preserve">est </w:t>
      </w:r>
      <w:r>
        <w:rPr>
          <w:rFonts w:ascii="Arial" w:hAnsi="Arial" w:cs="Arial"/>
          <w:iCs/>
        </w:rPr>
        <w:t>environment</w:t>
      </w:r>
      <w:r w:rsidR="004D77D8">
        <w:rPr>
          <w:rFonts w:ascii="Arial" w:hAnsi="Arial" w:cs="Arial"/>
          <w:iCs/>
        </w:rPr>
        <w:t xml:space="preserve"> (NACE solution A; </w:t>
      </w:r>
      <w:r w:rsidR="001F36F1" w:rsidRPr="008278C9">
        <w:rPr>
          <w:rFonts w:ascii="Arial" w:hAnsi="Arial" w:cs="Arial"/>
          <w:iCs/>
        </w:rPr>
        <w:t>initial pH 4.0</w:t>
      </w:r>
      <w:r w:rsidR="004D77D8">
        <w:rPr>
          <w:rFonts w:ascii="Arial" w:hAnsi="Arial" w:cs="Arial"/>
          <w:iCs/>
        </w:rPr>
        <w:t>)</w:t>
      </w:r>
      <w:r>
        <w:rPr>
          <w:rFonts w:ascii="Arial" w:hAnsi="Arial" w:cs="Arial"/>
          <w:iCs/>
        </w:rPr>
        <w:t>;</w:t>
      </w:r>
      <w:r w:rsidR="00332EAA" w:rsidRPr="008278C9">
        <w:rPr>
          <w:rFonts w:ascii="Arial" w:hAnsi="Arial" w:cs="Arial"/>
          <w:iCs/>
        </w:rPr>
        <w:t xml:space="preserve"> </w:t>
      </w:r>
      <w:r>
        <w:rPr>
          <w:rFonts w:ascii="Arial" w:hAnsi="Arial" w:cs="Arial"/>
          <w:iCs/>
        </w:rPr>
        <w:t>m</w:t>
      </w:r>
      <w:r w:rsidR="00332EAA" w:rsidRPr="008278C9">
        <w:rPr>
          <w:rFonts w:ascii="Arial" w:hAnsi="Arial" w:cs="Arial"/>
          <w:iCs/>
        </w:rPr>
        <w:t>ass of H</w:t>
      </w:r>
      <w:r w:rsidR="00332EAA" w:rsidRPr="008278C9">
        <w:rPr>
          <w:rFonts w:ascii="Arial" w:hAnsi="Arial" w:cs="Arial"/>
          <w:iCs/>
          <w:vertAlign w:val="subscript"/>
        </w:rPr>
        <w:t>2</w:t>
      </w:r>
      <w:r w:rsidR="00332EAA" w:rsidRPr="008278C9">
        <w:rPr>
          <w:rFonts w:ascii="Arial" w:hAnsi="Arial" w:cs="Arial"/>
          <w:iCs/>
        </w:rPr>
        <w:t>S</w:t>
      </w:r>
      <w:r>
        <w:rPr>
          <w:rFonts w:ascii="Arial" w:hAnsi="Arial" w:cs="Arial"/>
          <w:iCs/>
        </w:rPr>
        <w:t xml:space="preserve">; gas </w:t>
      </w:r>
      <w:r w:rsidR="00332EAA" w:rsidRPr="008278C9">
        <w:rPr>
          <w:rFonts w:ascii="Arial" w:hAnsi="Arial" w:cs="Arial"/>
          <w:iCs/>
        </w:rPr>
        <w:t>replenishment</w:t>
      </w:r>
      <w:r>
        <w:rPr>
          <w:rFonts w:ascii="Arial" w:hAnsi="Arial" w:cs="Arial"/>
          <w:iCs/>
        </w:rPr>
        <w:t xml:space="preserve">; and duration. </w:t>
      </w:r>
      <w:r w:rsidR="00332EAA">
        <w:rPr>
          <w:rFonts w:ascii="Arial" w:hAnsi="Arial" w:cs="Arial"/>
          <w:iCs/>
          <w:lang w:val="en-GB"/>
        </w:rPr>
        <w:t>The tabulated test results from th</w:t>
      </w:r>
      <w:r>
        <w:rPr>
          <w:rFonts w:ascii="Arial" w:hAnsi="Arial" w:cs="Arial"/>
          <w:iCs/>
          <w:lang w:val="en-GB"/>
        </w:rPr>
        <w:t xml:space="preserve">at </w:t>
      </w:r>
      <w:r w:rsidR="00332EAA">
        <w:rPr>
          <w:rFonts w:ascii="Arial" w:hAnsi="Arial" w:cs="Arial"/>
          <w:iCs/>
          <w:lang w:val="en-GB"/>
        </w:rPr>
        <w:t>work are summarized in Table 1.</w:t>
      </w:r>
      <w:r w:rsidR="00332EAA" w:rsidRPr="00291A26">
        <w:rPr>
          <w:rFonts w:ascii="Arial" w:hAnsi="Arial" w:cs="Arial"/>
          <w:iCs/>
          <w:vertAlign w:val="superscript"/>
          <w:lang w:val="en-GB"/>
        </w:rPr>
        <w:t>4</w:t>
      </w:r>
      <w:r w:rsidR="00332EAA">
        <w:rPr>
          <w:rFonts w:ascii="Arial" w:hAnsi="Arial" w:cs="Arial"/>
          <w:iCs/>
          <w:lang w:val="en-GB"/>
        </w:rPr>
        <w:t xml:space="preserve"> Figure 2 shows the graphical presentation of the quantified SSC </w:t>
      </w:r>
      <w:r w:rsidR="002C47C4">
        <w:rPr>
          <w:rFonts w:ascii="Arial" w:hAnsi="Arial" w:cs="Arial"/>
          <w:iCs/>
          <w:lang w:val="en-GB"/>
        </w:rPr>
        <w:t>behaviour</w:t>
      </w:r>
      <w:r w:rsidR="00332EAA">
        <w:rPr>
          <w:rFonts w:ascii="Arial" w:hAnsi="Arial" w:cs="Arial"/>
          <w:iCs/>
          <w:lang w:val="en-GB"/>
        </w:rPr>
        <w:t xml:space="preserve"> as a function of H</w:t>
      </w:r>
      <w:r w:rsidR="00332EAA" w:rsidRPr="00450519">
        <w:rPr>
          <w:rFonts w:ascii="Arial" w:hAnsi="Arial" w:cs="Arial"/>
          <w:iCs/>
          <w:vertAlign w:val="subscript"/>
          <w:lang w:val="en-GB"/>
        </w:rPr>
        <w:t>2</w:t>
      </w:r>
      <w:r w:rsidR="00332EAA">
        <w:rPr>
          <w:rFonts w:ascii="Arial" w:hAnsi="Arial" w:cs="Arial"/>
          <w:iCs/>
          <w:lang w:val="en-GB"/>
        </w:rPr>
        <w:t xml:space="preserve">S partial pressure, solubility, and fugacity.  Included in the plots of Figure 2 are the results of a regression analysis (solid curves) and the 95% confidence intervals as noted by the dotted lines.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332EAA" w:rsidRPr="00E52607" w:rsidTr="0037435A">
        <w:tc>
          <w:tcPr>
            <w:tcW w:w="4643" w:type="dxa"/>
          </w:tcPr>
          <w:p w:rsidR="00332EAA" w:rsidRPr="00E52607" w:rsidRDefault="00187536" w:rsidP="0037435A">
            <w:pPr>
              <w:spacing w:after="120"/>
              <w:jc w:val="center"/>
            </w:pPr>
            <w:r>
              <w:rPr>
                <w:noProof/>
              </w:rPr>
              <w:drawing>
                <wp:inline distT="0" distB="0" distL="0" distR="0">
                  <wp:extent cx="2725420" cy="196977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5420" cy="1969770"/>
                          </a:xfrm>
                          <a:prstGeom prst="rect">
                            <a:avLst/>
                          </a:prstGeom>
                          <a:noFill/>
                          <a:ln>
                            <a:noFill/>
                          </a:ln>
                        </pic:spPr>
                      </pic:pic>
                    </a:graphicData>
                  </a:graphic>
                </wp:inline>
              </w:drawing>
            </w:r>
          </w:p>
        </w:tc>
        <w:tc>
          <w:tcPr>
            <w:tcW w:w="4643" w:type="dxa"/>
          </w:tcPr>
          <w:p w:rsidR="00332EAA" w:rsidRPr="00E52607" w:rsidRDefault="00187536" w:rsidP="0037435A">
            <w:pPr>
              <w:spacing w:after="120"/>
              <w:jc w:val="center"/>
            </w:pPr>
            <w:r>
              <w:rPr>
                <w:noProof/>
              </w:rPr>
              <w:drawing>
                <wp:inline distT="0" distB="0" distL="0" distR="0">
                  <wp:extent cx="2760980" cy="1995805"/>
                  <wp:effectExtent l="0" t="0" r="1270" b="4445"/>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0980" cy="1995805"/>
                          </a:xfrm>
                          <a:prstGeom prst="rect">
                            <a:avLst/>
                          </a:prstGeom>
                          <a:noFill/>
                          <a:ln>
                            <a:noFill/>
                          </a:ln>
                        </pic:spPr>
                      </pic:pic>
                    </a:graphicData>
                  </a:graphic>
                </wp:inline>
              </w:drawing>
            </w:r>
          </w:p>
        </w:tc>
      </w:tr>
      <w:tr w:rsidR="00332EAA" w:rsidRPr="00E52607" w:rsidTr="0037435A">
        <w:tc>
          <w:tcPr>
            <w:tcW w:w="9286" w:type="dxa"/>
            <w:gridSpan w:val="2"/>
          </w:tcPr>
          <w:p w:rsidR="00332EAA" w:rsidRPr="00E52607" w:rsidRDefault="00187536" w:rsidP="0037435A">
            <w:pPr>
              <w:spacing w:after="120"/>
              <w:jc w:val="center"/>
            </w:pPr>
            <w:r>
              <w:rPr>
                <w:noProof/>
              </w:rPr>
              <w:drawing>
                <wp:inline distT="0" distB="0" distL="0" distR="0">
                  <wp:extent cx="4853305" cy="3516630"/>
                  <wp:effectExtent l="0" t="0" r="4445" b="762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3305" cy="3516630"/>
                          </a:xfrm>
                          <a:prstGeom prst="rect">
                            <a:avLst/>
                          </a:prstGeom>
                          <a:noFill/>
                          <a:ln>
                            <a:noFill/>
                          </a:ln>
                        </pic:spPr>
                      </pic:pic>
                    </a:graphicData>
                  </a:graphic>
                </wp:inline>
              </w:drawing>
            </w:r>
          </w:p>
        </w:tc>
      </w:tr>
    </w:tbl>
    <w:p w:rsidR="00332EAA" w:rsidRDefault="00332EAA" w:rsidP="005E4432">
      <w:pPr>
        <w:spacing w:after="120"/>
        <w:ind w:left="426" w:hanging="426"/>
        <w:jc w:val="center"/>
        <w:rPr>
          <w:rFonts w:ascii="Arial" w:hAnsi="Arial" w:cs="Arial"/>
          <w:iCs/>
        </w:rPr>
      </w:pPr>
      <w:r w:rsidRPr="00872327">
        <w:rPr>
          <w:rFonts w:ascii="Arial" w:hAnsi="Arial" w:cs="Arial"/>
          <w:b/>
          <w:iCs/>
        </w:rPr>
        <w:t>Figure 2:  SSC results versus partial pressure of H</w:t>
      </w:r>
      <w:r w:rsidRPr="00872327">
        <w:rPr>
          <w:rFonts w:ascii="Arial" w:hAnsi="Arial" w:cs="Arial"/>
          <w:b/>
          <w:iCs/>
          <w:vertAlign w:val="subscript"/>
        </w:rPr>
        <w:t>2</w:t>
      </w:r>
      <w:r w:rsidRPr="00872327">
        <w:rPr>
          <w:rFonts w:ascii="Arial" w:hAnsi="Arial" w:cs="Arial"/>
          <w:b/>
          <w:iCs/>
        </w:rPr>
        <w:t xml:space="preserve">S, aqueous concentration, </w:t>
      </w:r>
      <w:r w:rsidR="00595826">
        <w:rPr>
          <w:rFonts w:ascii="Arial" w:hAnsi="Arial" w:cs="Arial"/>
          <w:b/>
          <w:iCs/>
        </w:rPr>
        <w:t>and</w:t>
      </w:r>
      <w:r w:rsidRPr="00872327">
        <w:rPr>
          <w:rFonts w:ascii="Arial" w:hAnsi="Arial" w:cs="Arial"/>
          <w:b/>
          <w:iCs/>
        </w:rPr>
        <w:t xml:space="preserve"> fugacity.  95% confidence limits at both test pressures</w:t>
      </w:r>
      <w:r w:rsidR="00595826">
        <w:rPr>
          <w:rFonts w:ascii="Arial" w:hAnsi="Arial" w:cs="Arial"/>
          <w:b/>
          <w:iCs/>
        </w:rPr>
        <w:t xml:space="preserve"> also shown</w:t>
      </w:r>
      <w:r w:rsidRPr="00E52607">
        <w:rPr>
          <w:rFonts w:ascii="Arial" w:hAnsi="Arial" w:cs="Arial"/>
          <w:iCs/>
        </w:rPr>
        <w:t>.</w:t>
      </w:r>
    </w:p>
    <w:p w:rsidR="00332EAA" w:rsidRDefault="00332EAA" w:rsidP="00332EAA">
      <w:pPr>
        <w:spacing w:after="120"/>
        <w:ind w:left="426" w:hanging="426"/>
        <w:jc w:val="both"/>
        <w:rPr>
          <w:rFonts w:ascii="Arial" w:hAnsi="Arial" w:cs="Arial"/>
          <w:iCs/>
        </w:rPr>
      </w:pPr>
    </w:p>
    <w:p w:rsidR="005E4432" w:rsidRPr="005E4432" w:rsidRDefault="005E4432" w:rsidP="005E4432">
      <w:pPr>
        <w:spacing w:after="120"/>
        <w:jc w:val="center"/>
        <w:rPr>
          <w:rFonts w:ascii="Arial" w:hAnsi="Arial" w:cs="Arial"/>
          <w:b/>
          <w:iCs/>
          <w:lang w:val="en-GB"/>
        </w:rPr>
      </w:pPr>
      <w:r w:rsidRPr="005E4432">
        <w:rPr>
          <w:rFonts w:ascii="Arial" w:hAnsi="Arial" w:cs="Arial"/>
          <w:b/>
          <w:iCs/>
          <w:lang w:val="en-GB"/>
        </w:rPr>
        <w:t>Table 1</w:t>
      </w:r>
    </w:p>
    <w:p w:rsidR="00332EAA" w:rsidRPr="005E4432" w:rsidRDefault="00332EAA" w:rsidP="005E4432">
      <w:pPr>
        <w:spacing w:after="120"/>
        <w:jc w:val="center"/>
        <w:rPr>
          <w:rFonts w:ascii="Arial" w:hAnsi="Arial" w:cs="Arial"/>
          <w:b/>
          <w:iCs/>
          <w:lang w:val="en-GB"/>
        </w:rPr>
      </w:pPr>
      <w:r w:rsidRPr="005E4432">
        <w:rPr>
          <w:rFonts w:ascii="Arial" w:hAnsi="Arial" w:cs="Arial"/>
          <w:b/>
          <w:iCs/>
          <w:lang w:val="en-GB"/>
        </w:rPr>
        <w:t>Hydrogen Sulfide Values for Each Test with SSC Test Results</w:t>
      </w:r>
    </w:p>
    <w:bookmarkStart w:id="1" w:name="_MON_1432984464"/>
    <w:bookmarkEnd w:id="1"/>
    <w:p w:rsidR="00332EAA" w:rsidRDefault="00332EAA" w:rsidP="00332EAA">
      <w:pPr>
        <w:spacing w:after="120"/>
        <w:ind w:left="426" w:hanging="426"/>
        <w:jc w:val="both"/>
        <w:rPr>
          <w:rFonts w:ascii="Arial" w:hAnsi="Arial" w:cs="Arial"/>
          <w:iCs/>
        </w:rPr>
      </w:pPr>
      <w:r w:rsidRPr="000861ED">
        <w:rPr>
          <w:rFonts w:ascii="Arial" w:hAnsi="Arial" w:cs="Arial"/>
          <w:iCs/>
          <w:lang w:val="en-GB"/>
        </w:rPr>
        <w:object w:dxaOrig="11987" w:dyaOrig="3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144.75pt" o:ole="">
            <v:imagedata r:id="rId15" o:title=""/>
          </v:shape>
          <o:OLEObject Type="Embed" ProgID="Excel.Sheet.12" ShapeID="_x0000_i1025" DrawAspect="Content" ObjectID="_1465633082" r:id="rId16"/>
        </w:object>
      </w:r>
    </w:p>
    <w:p w:rsidR="00332EAA" w:rsidRPr="00E52607" w:rsidRDefault="00332EAA" w:rsidP="00332EAA">
      <w:pPr>
        <w:jc w:val="both"/>
        <w:rPr>
          <w:rFonts w:ascii="Arial" w:hAnsi="Arial" w:cs="Arial"/>
          <w:iCs/>
        </w:rPr>
      </w:pPr>
      <w:r w:rsidRPr="00E52607">
        <w:rPr>
          <w:rFonts w:ascii="Arial" w:hAnsi="Arial" w:cs="Arial"/>
          <w:iCs/>
        </w:rPr>
        <w:t xml:space="preserve">The results of the tests were analyzed with a rigorous statistical approach.  The main conclusions are shown as the boxed text and </w:t>
      </w:r>
      <w:r>
        <w:rPr>
          <w:rFonts w:ascii="Arial" w:hAnsi="Arial" w:cs="Arial"/>
          <w:iCs/>
        </w:rPr>
        <w:t xml:space="preserve">were </w:t>
      </w:r>
      <w:r w:rsidRPr="00E52607">
        <w:rPr>
          <w:rFonts w:ascii="Arial" w:hAnsi="Arial" w:cs="Arial"/>
          <w:iCs/>
        </w:rPr>
        <w:t xml:space="preserve">summarized </w:t>
      </w:r>
      <w:r>
        <w:rPr>
          <w:rFonts w:ascii="Arial" w:hAnsi="Arial" w:cs="Arial"/>
          <w:iCs/>
        </w:rPr>
        <w:t>as</w:t>
      </w:r>
      <w:r w:rsidRPr="00E52607">
        <w:rPr>
          <w:rFonts w:ascii="Arial" w:hAnsi="Arial" w:cs="Arial"/>
          <w:iCs/>
        </w:rPr>
        <w:t>:</w:t>
      </w:r>
    </w:p>
    <w:p w:rsidR="00332EAA" w:rsidRPr="00E52607" w:rsidRDefault="00332EAA" w:rsidP="00332EAA">
      <w:pPr>
        <w:pStyle w:val="ListNumber"/>
        <w:tabs>
          <w:tab w:val="num" w:pos="720"/>
        </w:tabs>
        <w:ind w:left="720"/>
        <w:jc w:val="both"/>
        <w:rPr>
          <w:rFonts w:ascii="Arial" w:hAnsi="Arial" w:cs="Arial"/>
          <w:iCs/>
        </w:rPr>
      </w:pPr>
      <w:r w:rsidRPr="00E52607">
        <w:rPr>
          <w:rFonts w:ascii="Arial" w:hAnsi="Arial" w:cs="Arial"/>
          <w:iCs/>
        </w:rPr>
        <w:t>Partial pressure of H</w:t>
      </w:r>
      <w:r w:rsidRPr="00E52607">
        <w:rPr>
          <w:rFonts w:ascii="Arial" w:hAnsi="Arial" w:cs="Arial"/>
          <w:iCs/>
          <w:vertAlign w:val="subscript"/>
        </w:rPr>
        <w:t>2</w:t>
      </w:r>
      <w:r w:rsidRPr="00E52607">
        <w:rPr>
          <w:rFonts w:ascii="Arial" w:hAnsi="Arial" w:cs="Arial"/>
          <w:iCs/>
        </w:rPr>
        <w:t xml:space="preserve">S:  Clear evidence that the cracking responses to partial pressure at the high and low total test pressure conditions </w:t>
      </w:r>
      <w:r w:rsidRPr="007F3DEE">
        <w:rPr>
          <w:rFonts w:ascii="Arial" w:hAnsi="Arial" w:cs="Arial"/>
          <w:i/>
          <w:iCs/>
        </w:rPr>
        <w:t>differ</w:t>
      </w:r>
      <w:r w:rsidRPr="00E52607">
        <w:rPr>
          <w:rFonts w:ascii="Arial" w:hAnsi="Arial" w:cs="Arial"/>
          <w:iCs/>
        </w:rPr>
        <w:t xml:space="preserve">.  </w:t>
      </w:r>
      <w:r>
        <w:rPr>
          <w:rFonts w:ascii="Arial" w:hAnsi="Arial" w:cs="Arial"/>
          <w:iCs/>
        </w:rPr>
        <w:t xml:space="preserve">For example, comparison of results from test 3 to test 7 (see Table 1), the  average K varied from 59.2 to 66.9 </w:t>
      </w:r>
      <w:r w:rsidR="008D4596">
        <w:rPr>
          <w:rFonts w:ascii="Arial" w:hAnsi="Arial" w:cs="Arial"/>
          <w:iCs/>
        </w:rPr>
        <w:t xml:space="preserve">ksi </w:t>
      </w:r>
      <w:r w:rsidR="008D4596">
        <w:rPr>
          <w:rFonts w:ascii="Calibri" w:hAnsi="Calibri" w:cs="Calibri"/>
          <w:iCs/>
        </w:rPr>
        <w:t>√</w:t>
      </w:r>
      <w:r w:rsidR="008D4596">
        <w:rPr>
          <w:rFonts w:ascii="Arial" w:hAnsi="Arial" w:cs="Arial"/>
          <w:iCs/>
        </w:rPr>
        <w:t xml:space="preserve">in (65.1 to 73.5 MPa </w:t>
      </w:r>
      <w:r w:rsidR="008D4596">
        <w:rPr>
          <w:rFonts w:ascii="Calibri" w:hAnsi="Calibri" w:cs="Calibri"/>
          <w:iCs/>
        </w:rPr>
        <w:t>√</w:t>
      </w:r>
      <w:r w:rsidR="008D4596">
        <w:rPr>
          <w:rFonts w:ascii="Arial" w:hAnsi="Arial" w:cs="Arial"/>
          <w:iCs/>
        </w:rPr>
        <w:t xml:space="preserve">m) </w:t>
      </w:r>
      <w:r>
        <w:rPr>
          <w:rFonts w:ascii="Arial" w:hAnsi="Arial" w:cs="Arial"/>
          <w:iCs/>
        </w:rPr>
        <w:t>even though the partial pressures of H</w:t>
      </w:r>
      <w:r w:rsidRPr="00686765">
        <w:rPr>
          <w:rFonts w:ascii="Arial" w:hAnsi="Arial" w:cs="Arial"/>
          <w:iCs/>
          <w:vertAlign w:val="subscript"/>
        </w:rPr>
        <w:t>2</w:t>
      </w:r>
      <w:r>
        <w:rPr>
          <w:rFonts w:ascii="Arial" w:hAnsi="Arial" w:cs="Arial"/>
          <w:iCs/>
        </w:rPr>
        <w:t xml:space="preserve">S were about the same.  </w:t>
      </w:r>
      <w:r w:rsidRPr="00E52607">
        <w:rPr>
          <w:rFonts w:ascii="Arial" w:hAnsi="Arial" w:cs="Arial"/>
          <w:iCs/>
        </w:rPr>
        <w:t xml:space="preserve"> This means that another factor, total system pressure, is influencing the sour material response in addition to the H</w:t>
      </w:r>
      <w:r w:rsidRPr="00E52607">
        <w:rPr>
          <w:rFonts w:ascii="Arial" w:hAnsi="Arial" w:cs="Arial"/>
          <w:iCs/>
          <w:vertAlign w:val="subscript"/>
        </w:rPr>
        <w:t>2</w:t>
      </w:r>
      <w:r w:rsidRPr="00E52607">
        <w:rPr>
          <w:rFonts w:ascii="Arial" w:hAnsi="Arial" w:cs="Arial"/>
          <w:iCs/>
        </w:rPr>
        <w:t xml:space="preserve">S partial pressure.   .  </w:t>
      </w:r>
    </w:p>
    <w:p w:rsidR="00332EAA" w:rsidRPr="00E52607" w:rsidRDefault="00332EAA" w:rsidP="00332EAA">
      <w:pPr>
        <w:pStyle w:val="ListNumber"/>
        <w:tabs>
          <w:tab w:val="num" w:pos="720"/>
        </w:tabs>
        <w:ind w:left="720"/>
        <w:jc w:val="both"/>
        <w:rPr>
          <w:rFonts w:ascii="Arial" w:hAnsi="Arial" w:cs="Arial"/>
          <w:iCs/>
        </w:rPr>
      </w:pPr>
      <w:r w:rsidRPr="00E52607">
        <w:rPr>
          <w:rFonts w:ascii="Arial" w:hAnsi="Arial" w:cs="Arial"/>
          <w:iCs/>
        </w:rPr>
        <w:t>Solubility of H</w:t>
      </w:r>
      <w:r w:rsidRPr="00E52607">
        <w:rPr>
          <w:rFonts w:ascii="Arial" w:hAnsi="Arial" w:cs="Arial"/>
          <w:iCs/>
          <w:vertAlign w:val="subscript"/>
        </w:rPr>
        <w:t>2</w:t>
      </w:r>
      <w:r w:rsidRPr="00E52607">
        <w:rPr>
          <w:rFonts w:ascii="Arial" w:hAnsi="Arial" w:cs="Arial"/>
          <w:iCs/>
        </w:rPr>
        <w:t xml:space="preserve">S: </w:t>
      </w:r>
      <w:r w:rsidRPr="007F3DEE">
        <w:rPr>
          <w:rFonts w:ascii="Arial" w:hAnsi="Arial" w:cs="Arial"/>
          <w:i/>
          <w:iCs/>
        </w:rPr>
        <w:t>Some evidence</w:t>
      </w:r>
      <w:r w:rsidRPr="00E52607">
        <w:rPr>
          <w:rFonts w:ascii="Arial" w:hAnsi="Arial" w:cs="Arial"/>
          <w:iCs/>
        </w:rPr>
        <w:t xml:space="preserve"> that the cracking response to solubility at the high and low total test pressure conditions </w:t>
      </w:r>
      <w:r w:rsidRPr="007F3DEE">
        <w:rPr>
          <w:rFonts w:ascii="Arial" w:hAnsi="Arial" w:cs="Arial"/>
          <w:i/>
          <w:iCs/>
        </w:rPr>
        <w:t>differs</w:t>
      </w:r>
      <w:r w:rsidRPr="00E52607">
        <w:rPr>
          <w:rFonts w:ascii="Arial" w:hAnsi="Arial" w:cs="Arial"/>
          <w:iCs/>
        </w:rPr>
        <w:t>.    This indicates that the use of H</w:t>
      </w:r>
      <w:r w:rsidRPr="00E52607">
        <w:rPr>
          <w:rFonts w:ascii="Arial" w:hAnsi="Arial" w:cs="Arial"/>
          <w:iCs/>
          <w:vertAlign w:val="subscript"/>
        </w:rPr>
        <w:t>2</w:t>
      </w:r>
      <w:r w:rsidRPr="00E52607">
        <w:rPr>
          <w:rFonts w:ascii="Arial" w:hAnsi="Arial" w:cs="Arial"/>
          <w:iCs/>
        </w:rPr>
        <w:t xml:space="preserve">S solubility alone may not sufficiently describe the sulfide stress cracking response of alloy steel.  </w:t>
      </w:r>
    </w:p>
    <w:p w:rsidR="00332EAA" w:rsidRPr="00E52607" w:rsidRDefault="00332EAA" w:rsidP="00332EAA">
      <w:pPr>
        <w:pStyle w:val="ListNumber"/>
        <w:tabs>
          <w:tab w:val="num" w:pos="720"/>
        </w:tabs>
        <w:ind w:left="720"/>
        <w:jc w:val="both"/>
        <w:rPr>
          <w:rFonts w:ascii="Arial" w:hAnsi="Arial" w:cs="Arial"/>
          <w:iCs/>
        </w:rPr>
      </w:pPr>
      <w:r w:rsidRPr="00E52607">
        <w:rPr>
          <w:rFonts w:ascii="Arial" w:hAnsi="Arial" w:cs="Arial"/>
          <w:iCs/>
        </w:rPr>
        <w:t>Fugacity of H</w:t>
      </w:r>
      <w:r w:rsidRPr="00E52607">
        <w:rPr>
          <w:rFonts w:ascii="Arial" w:hAnsi="Arial" w:cs="Arial"/>
          <w:iCs/>
          <w:vertAlign w:val="subscript"/>
        </w:rPr>
        <w:t>2</w:t>
      </w:r>
      <w:r w:rsidRPr="00E52607">
        <w:rPr>
          <w:rFonts w:ascii="Arial" w:hAnsi="Arial" w:cs="Arial"/>
          <w:iCs/>
        </w:rPr>
        <w:t xml:space="preserve">S: Evidence is that the cracking response to the fugacity at the high and low total test pressure conditions </w:t>
      </w:r>
      <w:r w:rsidRPr="007F3DEE">
        <w:rPr>
          <w:rFonts w:ascii="Arial" w:hAnsi="Arial" w:cs="Arial"/>
          <w:i/>
          <w:iCs/>
        </w:rPr>
        <w:t>is the same</w:t>
      </w:r>
      <w:r w:rsidRPr="00E52607">
        <w:rPr>
          <w:rFonts w:ascii="Arial" w:hAnsi="Arial" w:cs="Arial"/>
          <w:iCs/>
        </w:rPr>
        <w:t>.    This indicates that the use of H</w:t>
      </w:r>
      <w:r w:rsidRPr="00E52607">
        <w:rPr>
          <w:rFonts w:ascii="Arial" w:hAnsi="Arial" w:cs="Arial"/>
          <w:iCs/>
          <w:vertAlign w:val="subscript"/>
        </w:rPr>
        <w:t>2</w:t>
      </w:r>
      <w:r w:rsidRPr="00E52607">
        <w:rPr>
          <w:rFonts w:ascii="Arial" w:hAnsi="Arial" w:cs="Arial"/>
          <w:iCs/>
        </w:rPr>
        <w:t xml:space="preserve">S fugacity alone sufficiently describes the sulfide stress cracking response of alloy steel.  </w:t>
      </w:r>
    </w:p>
    <w:p w:rsidR="001D4B82" w:rsidRDefault="001D4B82" w:rsidP="001D4B82">
      <w:pPr>
        <w:jc w:val="both"/>
        <w:rPr>
          <w:rFonts w:ascii="Arial" w:hAnsi="Arial" w:cs="Arial"/>
          <w:sz w:val="22"/>
          <w:szCs w:val="22"/>
        </w:rPr>
      </w:pPr>
    </w:p>
    <w:p w:rsidR="001D4B82" w:rsidRDefault="00CE0D6B" w:rsidP="001D4B82">
      <w:pPr>
        <w:pStyle w:val="Heading3"/>
        <w:spacing w:before="0" w:after="0"/>
        <w:jc w:val="center"/>
        <w:rPr>
          <w:sz w:val="22"/>
          <w:szCs w:val="22"/>
        </w:rPr>
      </w:pPr>
      <w:r>
        <w:rPr>
          <w:sz w:val="22"/>
          <w:szCs w:val="22"/>
        </w:rPr>
        <w:t xml:space="preserve">APPLICATION AND LIMITATION OF </w:t>
      </w:r>
      <w:r w:rsidR="001D4B82">
        <w:rPr>
          <w:sz w:val="22"/>
          <w:szCs w:val="22"/>
        </w:rPr>
        <w:t>RESULTS</w:t>
      </w:r>
    </w:p>
    <w:p w:rsidR="001D4B82" w:rsidRPr="00EC4D24" w:rsidRDefault="001D4B82" w:rsidP="001D4B82"/>
    <w:p w:rsidR="00DC78B1" w:rsidRPr="00E52607" w:rsidRDefault="00DC78B1" w:rsidP="00DC78B1">
      <w:pPr>
        <w:pStyle w:val="Flienach"/>
        <w:rPr>
          <w:rFonts w:ascii="Arial" w:hAnsi="Arial" w:cs="Arial"/>
        </w:rPr>
      </w:pPr>
      <w:r>
        <w:rPr>
          <w:rFonts w:ascii="Arial" w:hAnsi="Arial" w:cs="Arial"/>
        </w:rPr>
        <w:t xml:space="preserve">Application of the observation that fugacity is the controlling factor (as opposed partial pressure of hydrogen sulfide) in SSC propagation in steel oil country tubular good (OCTG) products has some attractive benefits.  Users of such </w:t>
      </w:r>
      <w:r w:rsidRPr="00E52607">
        <w:rPr>
          <w:rFonts w:ascii="Arial" w:hAnsi="Arial" w:cs="Arial"/>
        </w:rPr>
        <w:t>results</w:t>
      </w:r>
      <w:r>
        <w:rPr>
          <w:rFonts w:ascii="Arial" w:hAnsi="Arial" w:cs="Arial"/>
        </w:rPr>
        <w:t xml:space="preserve">, however, </w:t>
      </w:r>
      <w:r w:rsidRPr="00E52607">
        <w:rPr>
          <w:rFonts w:ascii="Arial" w:hAnsi="Arial" w:cs="Arial"/>
        </w:rPr>
        <w:t xml:space="preserve">should verify their applicability to specific situations by appropriate fit-for purpose testing based upon proven physical chemistry principals.  </w:t>
      </w:r>
      <w:r>
        <w:rPr>
          <w:rFonts w:ascii="Arial" w:hAnsi="Arial" w:cs="Arial"/>
        </w:rPr>
        <w:t>T</w:t>
      </w:r>
      <w:r w:rsidRPr="00E52607">
        <w:rPr>
          <w:rFonts w:ascii="Arial" w:hAnsi="Arial" w:cs="Arial"/>
        </w:rPr>
        <w:t>he impact of field lifecycle exposures needs to be considered in application of physical chemistry properties.</w:t>
      </w:r>
    </w:p>
    <w:p w:rsidR="00CE0D6B" w:rsidRDefault="00CE0D6B" w:rsidP="00CE0D6B">
      <w:pPr>
        <w:jc w:val="both"/>
        <w:rPr>
          <w:rFonts w:ascii="Arial" w:hAnsi="Arial" w:cs="Arial"/>
        </w:rPr>
      </w:pPr>
    </w:p>
    <w:p w:rsidR="00CE0D6B" w:rsidRPr="002C47C4" w:rsidRDefault="00CE0D6B" w:rsidP="00CE0D6B">
      <w:pPr>
        <w:jc w:val="both"/>
        <w:rPr>
          <w:rFonts w:ascii="Arial" w:hAnsi="Arial" w:cs="Arial"/>
          <w:b/>
          <w:sz w:val="22"/>
          <w:szCs w:val="22"/>
        </w:rPr>
      </w:pPr>
      <w:r w:rsidRPr="002C47C4">
        <w:rPr>
          <w:rFonts w:ascii="Arial" w:hAnsi="Arial" w:cs="Arial"/>
          <w:b/>
        </w:rPr>
        <w:t xml:space="preserve">Predicting Well Conditions (Sweet </w:t>
      </w:r>
      <w:r w:rsidR="002C47C4" w:rsidRPr="002C47C4">
        <w:rPr>
          <w:rFonts w:ascii="Arial" w:hAnsi="Arial" w:cs="Arial"/>
          <w:b/>
        </w:rPr>
        <w:t>vs.</w:t>
      </w:r>
      <w:r w:rsidRPr="002C47C4">
        <w:rPr>
          <w:rFonts w:ascii="Arial" w:hAnsi="Arial" w:cs="Arial"/>
          <w:b/>
        </w:rPr>
        <w:t xml:space="preserve"> Sour)</w:t>
      </w:r>
    </w:p>
    <w:p w:rsidR="00CE0D6B" w:rsidRDefault="00CE0D6B" w:rsidP="00DC78B1">
      <w:pPr>
        <w:pStyle w:val="BU"/>
        <w:spacing w:before="0" w:line="288" w:lineRule="exact"/>
        <w:jc w:val="both"/>
        <w:rPr>
          <w:rFonts w:ascii="Arial" w:hAnsi="Arial" w:cs="Arial"/>
          <w:sz w:val="24"/>
        </w:rPr>
      </w:pPr>
      <w:bookmarkStart w:id="2" w:name="_Ref503770925"/>
    </w:p>
    <w:p w:rsidR="00DC78B1" w:rsidRDefault="00DC78B1" w:rsidP="00DC78B1">
      <w:pPr>
        <w:pStyle w:val="BU"/>
        <w:spacing w:before="0" w:line="288" w:lineRule="exact"/>
        <w:jc w:val="both"/>
        <w:rPr>
          <w:rFonts w:ascii="Arial" w:hAnsi="Arial" w:cs="Arial"/>
          <w:sz w:val="24"/>
          <w:szCs w:val="24"/>
        </w:rPr>
      </w:pPr>
      <w:r w:rsidRPr="00E52607">
        <w:rPr>
          <w:rFonts w:ascii="Arial" w:hAnsi="Arial" w:cs="Arial"/>
          <w:sz w:val="24"/>
        </w:rPr>
        <w:t xml:space="preserve">The </w:t>
      </w:r>
      <w:r>
        <w:rPr>
          <w:rFonts w:ascii="Arial" w:hAnsi="Arial" w:cs="Arial"/>
          <w:sz w:val="24"/>
        </w:rPr>
        <w:t>potential presence (and the amount) of H</w:t>
      </w:r>
      <w:r w:rsidRPr="001847B5">
        <w:rPr>
          <w:rFonts w:ascii="Arial" w:hAnsi="Arial" w:cs="Arial"/>
          <w:sz w:val="24"/>
          <w:vertAlign w:val="subscript"/>
        </w:rPr>
        <w:t>2</w:t>
      </w:r>
      <w:r>
        <w:rPr>
          <w:rFonts w:ascii="Arial" w:hAnsi="Arial" w:cs="Arial"/>
          <w:sz w:val="24"/>
        </w:rPr>
        <w:t>S in a given untested well is needed information to ensure the proper materials selection. In the absence of accurate data, conservative estimates are warranted.  Various sources of H</w:t>
      </w:r>
      <w:r w:rsidRPr="000B037E">
        <w:rPr>
          <w:rFonts w:ascii="Arial" w:hAnsi="Arial" w:cs="Arial"/>
          <w:sz w:val="24"/>
          <w:vertAlign w:val="subscript"/>
        </w:rPr>
        <w:t>2</w:t>
      </w:r>
      <w:r>
        <w:rPr>
          <w:rFonts w:ascii="Arial" w:hAnsi="Arial" w:cs="Arial"/>
          <w:sz w:val="24"/>
        </w:rPr>
        <w:t>S in reservoirs have been identified;</w:t>
      </w:r>
      <w:r w:rsidRPr="00291A26">
        <w:rPr>
          <w:rFonts w:ascii="Arial" w:hAnsi="Arial" w:cs="Arial"/>
          <w:sz w:val="24"/>
          <w:vertAlign w:val="superscript"/>
        </w:rPr>
        <w:t>7</w:t>
      </w:r>
      <w:r>
        <w:rPr>
          <w:rFonts w:ascii="Arial" w:hAnsi="Arial" w:cs="Arial"/>
          <w:sz w:val="24"/>
        </w:rPr>
        <w:t xml:space="preserve"> these include sulfate reducing </w:t>
      </w:r>
      <w:r w:rsidRPr="001847B5">
        <w:rPr>
          <w:rFonts w:ascii="Arial" w:hAnsi="Arial" w:cs="Arial"/>
          <w:sz w:val="24"/>
          <w:szCs w:val="24"/>
        </w:rPr>
        <w:t>bacteria</w:t>
      </w:r>
      <w:r>
        <w:rPr>
          <w:rFonts w:ascii="Arial" w:hAnsi="Arial" w:cs="Arial"/>
          <w:sz w:val="24"/>
          <w:szCs w:val="24"/>
        </w:rPr>
        <w:t xml:space="preserve">, </w:t>
      </w:r>
      <w:r w:rsidR="002C47C4">
        <w:rPr>
          <w:rFonts w:ascii="Arial" w:hAnsi="Arial" w:cs="Arial"/>
          <w:sz w:val="24"/>
          <w:szCs w:val="24"/>
        </w:rPr>
        <w:t>thermo</w:t>
      </w:r>
      <w:r>
        <w:rPr>
          <w:rFonts w:ascii="Arial" w:hAnsi="Arial" w:cs="Arial"/>
          <w:sz w:val="24"/>
          <w:szCs w:val="24"/>
        </w:rPr>
        <w:t>-chemical sulfate reduction and thermal cracking.  Thermal cracking as a source of reservoir H</w:t>
      </w:r>
      <w:r w:rsidRPr="001847B5">
        <w:rPr>
          <w:rFonts w:ascii="Arial" w:hAnsi="Arial" w:cs="Arial"/>
          <w:sz w:val="24"/>
          <w:szCs w:val="24"/>
          <w:vertAlign w:val="subscript"/>
        </w:rPr>
        <w:t>2</w:t>
      </w:r>
      <w:r>
        <w:rPr>
          <w:rFonts w:ascii="Arial" w:hAnsi="Arial" w:cs="Arial"/>
          <w:sz w:val="24"/>
          <w:szCs w:val="24"/>
        </w:rPr>
        <w:t>S is particularly important for many HPHT developments.  At temperatures in excess of 250°F (120°C) sulfides in sulfur rich source rock can decompose to form H</w:t>
      </w:r>
      <w:r w:rsidRPr="001847B5">
        <w:rPr>
          <w:rFonts w:ascii="Arial" w:hAnsi="Arial" w:cs="Arial"/>
          <w:sz w:val="24"/>
          <w:szCs w:val="24"/>
          <w:vertAlign w:val="subscript"/>
        </w:rPr>
        <w:t>2</w:t>
      </w:r>
      <w:r>
        <w:rPr>
          <w:rFonts w:ascii="Arial" w:hAnsi="Arial" w:cs="Arial"/>
          <w:sz w:val="24"/>
          <w:szCs w:val="24"/>
        </w:rPr>
        <w:t xml:space="preserve">S.  Various mineral reactions act as buffers, controlling the </w:t>
      </w:r>
      <w:r>
        <w:rPr>
          <w:rFonts w:ascii="Arial" w:hAnsi="Arial" w:cs="Arial"/>
          <w:sz w:val="24"/>
          <w:szCs w:val="24"/>
        </w:rPr>
        <w:lastRenderedPageBreak/>
        <w:t>concentration of H</w:t>
      </w:r>
      <w:r w:rsidRPr="001847B5">
        <w:rPr>
          <w:rFonts w:ascii="Arial" w:hAnsi="Arial" w:cs="Arial"/>
          <w:sz w:val="24"/>
          <w:szCs w:val="24"/>
          <w:vertAlign w:val="subscript"/>
        </w:rPr>
        <w:t>2</w:t>
      </w:r>
      <w:r>
        <w:rPr>
          <w:rFonts w:ascii="Arial" w:hAnsi="Arial" w:cs="Arial"/>
          <w:sz w:val="24"/>
          <w:szCs w:val="24"/>
        </w:rPr>
        <w:t>S in the reservoir fluid.</w:t>
      </w:r>
      <w:r w:rsidRPr="00291A26">
        <w:rPr>
          <w:rFonts w:ascii="Arial" w:hAnsi="Arial" w:cs="Arial"/>
          <w:sz w:val="24"/>
          <w:szCs w:val="24"/>
          <w:vertAlign w:val="superscript"/>
        </w:rPr>
        <w:t>8</w:t>
      </w:r>
      <w:r>
        <w:rPr>
          <w:rFonts w:ascii="Arial" w:hAnsi="Arial" w:cs="Arial"/>
          <w:sz w:val="24"/>
          <w:szCs w:val="24"/>
        </w:rPr>
        <w:t xml:space="preserve"> From an  analysis of compiled bottom hole temperatures and hydrogen sulfide measurements for gas production from clastic type reservoirs, an empirical relationship, the JT Smith Correlation, was developed. Grimes and McNeil </w:t>
      </w:r>
      <w:r w:rsidRPr="00291A26">
        <w:rPr>
          <w:rFonts w:ascii="Arial" w:hAnsi="Arial" w:cs="Arial"/>
          <w:sz w:val="24"/>
          <w:szCs w:val="24"/>
          <w:vertAlign w:val="superscript"/>
        </w:rPr>
        <w:t>8</w:t>
      </w:r>
      <w:r>
        <w:rPr>
          <w:rFonts w:ascii="Arial" w:hAnsi="Arial" w:cs="Arial"/>
          <w:sz w:val="24"/>
          <w:szCs w:val="24"/>
        </w:rPr>
        <w:t xml:space="preserve"> provide further background on the JT Smith correlation.  Figure 3 from their publication shows the log of the </w:t>
      </w:r>
      <w:r w:rsidRPr="007F3DEE">
        <w:rPr>
          <w:rFonts w:ascii="Arial" w:hAnsi="Arial" w:cs="Arial"/>
          <w:i/>
          <w:sz w:val="24"/>
          <w:szCs w:val="24"/>
        </w:rPr>
        <w:t>partial pressure</w:t>
      </w:r>
      <w:r>
        <w:rPr>
          <w:rFonts w:ascii="Arial" w:hAnsi="Arial" w:cs="Arial"/>
          <w:sz w:val="24"/>
          <w:szCs w:val="24"/>
        </w:rPr>
        <w:t xml:space="preserve"> of H</w:t>
      </w:r>
      <w:r w:rsidRPr="001847B5">
        <w:rPr>
          <w:rFonts w:ascii="Arial" w:hAnsi="Arial" w:cs="Arial"/>
          <w:sz w:val="24"/>
          <w:szCs w:val="24"/>
          <w:vertAlign w:val="subscript"/>
        </w:rPr>
        <w:t>2</w:t>
      </w:r>
      <w:r>
        <w:rPr>
          <w:rFonts w:ascii="Arial" w:hAnsi="Arial" w:cs="Arial"/>
          <w:sz w:val="24"/>
          <w:szCs w:val="24"/>
        </w:rPr>
        <w:t xml:space="preserve">S as a linear function of reservoir temperature.  Note that this figure includes the 95% confidence interval and lines of construction indicating that the 0.05 psi </w:t>
      </w:r>
      <w:r w:rsidR="00337D29">
        <w:rPr>
          <w:rFonts w:ascii="Arial" w:hAnsi="Arial" w:cs="Arial"/>
          <w:sz w:val="24"/>
          <w:szCs w:val="24"/>
        </w:rPr>
        <w:t xml:space="preserve">(0.003 bar) </w:t>
      </w:r>
      <w:r>
        <w:rPr>
          <w:rFonts w:ascii="Arial" w:hAnsi="Arial" w:cs="Arial"/>
          <w:sz w:val="24"/>
          <w:szCs w:val="24"/>
        </w:rPr>
        <w:t>H</w:t>
      </w:r>
      <w:r w:rsidRPr="001847B5">
        <w:rPr>
          <w:rFonts w:ascii="Arial" w:hAnsi="Arial" w:cs="Arial"/>
          <w:sz w:val="24"/>
          <w:szCs w:val="24"/>
          <w:vertAlign w:val="subscript"/>
        </w:rPr>
        <w:t>2</w:t>
      </w:r>
      <w:r>
        <w:rPr>
          <w:rFonts w:ascii="Arial" w:hAnsi="Arial" w:cs="Arial"/>
          <w:sz w:val="24"/>
          <w:szCs w:val="24"/>
        </w:rPr>
        <w:t>S partial pressure level can occur (conservatively) at 275°F</w:t>
      </w:r>
      <w:r w:rsidR="00337D29">
        <w:rPr>
          <w:rFonts w:ascii="Arial" w:hAnsi="Arial" w:cs="Arial"/>
          <w:sz w:val="24"/>
          <w:szCs w:val="24"/>
        </w:rPr>
        <w:t xml:space="preserve"> (135°C)</w:t>
      </w:r>
      <w:r>
        <w:rPr>
          <w:rFonts w:ascii="Arial" w:hAnsi="Arial" w:cs="Arial"/>
          <w:sz w:val="24"/>
          <w:szCs w:val="24"/>
        </w:rPr>
        <w:t>.</w:t>
      </w:r>
    </w:p>
    <w:p w:rsidR="00DC78B1" w:rsidRDefault="00DC78B1" w:rsidP="00DC78B1">
      <w:pPr>
        <w:pStyle w:val="BU"/>
        <w:spacing w:before="0" w:line="288" w:lineRule="exact"/>
        <w:jc w:val="both"/>
        <w:rPr>
          <w:rFonts w:ascii="Arial" w:hAnsi="Arial" w:cs="Arial"/>
          <w:sz w:val="24"/>
          <w:szCs w:val="24"/>
        </w:rPr>
      </w:pPr>
    </w:p>
    <w:tbl>
      <w:tblPr>
        <w:tblW w:w="0" w:type="auto"/>
        <w:tblLook w:val="04A0" w:firstRow="1" w:lastRow="0" w:firstColumn="1" w:lastColumn="0" w:noHBand="0" w:noVBand="1"/>
      </w:tblPr>
      <w:tblGrid>
        <w:gridCol w:w="4626"/>
        <w:gridCol w:w="4660"/>
      </w:tblGrid>
      <w:tr w:rsidR="00DC78B1" w:rsidTr="0037435A">
        <w:tc>
          <w:tcPr>
            <w:tcW w:w="4626" w:type="dxa"/>
          </w:tcPr>
          <w:p w:rsidR="00DC78B1" w:rsidRDefault="00187536" w:rsidP="0037435A">
            <w:pPr>
              <w:keepNext/>
            </w:pPr>
            <w:r>
              <w:rPr>
                <w:noProof/>
              </w:rPr>
              <w:drawing>
                <wp:inline distT="0" distB="0" distL="0" distR="0">
                  <wp:extent cx="2787015" cy="31654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b="6651"/>
                          <a:stretch>
                            <a:fillRect/>
                          </a:stretch>
                        </pic:blipFill>
                        <pic:spPr bwMode="auto">
                          <a:xfrm>
                            <a:off x="0" y="0"/>
                            <a:ext cx="2787015" cy="3165475"/>
                          </a:xfrm>
                          <a:prstGeom prst="rect">
                            <a:avLst/>
                          </a:prstGeom>
                          <a:noFill/>
                          <a:ln>
                            <a:noFill/>
                          </a:ln>
                        </pic:spPr>
                      </pic:pic>
                    </a:graphicData>
                  </a:graphic>
                </wp:inline>
              </w:drawing>
            </w:r>
          </w:p>
          <w:p w:rsidR="00DC78B1" w:rsidRPr="00872327" w:rsidRDefault="00DC78B1" w:rsidP="005E4432">
            <w:pPr>
              <w:pStyle w:val="Caption"/>
              <w:ind w:left="284" w:hanging="284"/>
              <w:jc w:val="center"/>
              <w:rPr>
                <w:b/>
                <w:sz w:val="24"/>
                <w:szCs w:val="24"/>
              </w:rPr>
            </w:pPr>
            <w:r w:rsidRPr="00872327">
              <w:rPr>
                <w:b/>
                <w:sz w:val="24"/>
                <w:szCs w:val="24"/>
              </w:rPr>
              <w:t xml:space="preserve">Figure  3: </w:t>
            </w:r>
            <w:r w:rsidRPr="00872327">
              <w:rPr>
                <w:rFonts w:cs="Arial"/>
                <w:b/>
                <w:sz w:val="24"/>
                <w:szCs w:val="24"/>
              </w:rPr>
              <w:t>JT Smith Correlation</w:t>
            </w:r>
            <w:r w:rsidRPr="00872327">
              <w:rPr>
                <w:rFonts w:cs="Arial"/>
                <w:b/>
                <w:sz w:val="24"/>
                <w:szCs w:val="24"/>
                <w:vertAlign w:val="superscript"/>
              </w:rPr>
              <w:t xml:space="preserve">7 </w:t>
            </w:r>
            <w:r w:rsidRPr="00872327">
              <w:rPr>
                <w:rFonts w:cs="Arial"/>
                <w:b/>
                <w:sz w:val="24"/>
                <w:szCs w:val="24"/>
              </w:rPr>
              <w:t>in terms of H</w:t>
            </w:r>
            <w:r w:rsidRPr="00872327">
              <w:rPr>
                <w:rFonts w:cs="Arial"/>
                <w:b/>
                <w:sz w:val="24"/>
                <w:szCs w:val="24"/>
                <w:vertAlign w:val="subscript"/>
              </w:rPr>
              <w:t>2</w:t>
            </w:r>
            <w:r w:rsidRPr="00872327">
              <w:rPr>
                <w:rFonts w:cs="Arial"/>
                <w:b/>
                <w:sz w:val="24"/>
                <w:szCs w:val="24"/>
              </w:rPr>
              <w:t>S partial pressure as function of reservoir temperature for clastic reservoirs in the Gulf of Mexico, based on gas well production data.</w:t>
            </w:r>
          </w:p>
        </w:tc>
        <w:tc>
          <w:tcPr>
            <w:tcW w:w="4660" w:type="dxa"/>
          </w:tcPr>
          <w:p w:rsidR="00DC78B1" w:rsidRDefault="00187536" w:rsidP="0037435A">
            <w:pPr>
              <w:keepNext/>
            </w:pPr>
            <w:r>
              <w:rPr>
                <w:noProof/>
              </w:rPr>
              <w:drawing>
                <wp:inline distT="0" distB="0" distL="0" distR="0">
                  <wp:extent cx="2787015" cy="317373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7015" cy="3173730"/>
                          </a:xfrm>
                          <a:prstGeom prst="rect">
                            <a:avLst/>
                          </a:prstGeom>
                          <a:noFill/>
                          <a:ln>
                            <a:noFill/>
                          </a:ln>
                        </pic:spPr>
                      </pic:pic>
                    </a:graphicData>
                  </a:graphic>
                </wp:inline>
              </w:drawing>
            </w:r>
          </w:p>
          <w:p w:rsidR="00DC78B1" w:rsidRPr="00872327" w:rsidRDefault="00DC78B1" w:rsidP="005E4432">
            <w:pPr>
              <w:pStyle w:val="Caption"/>
              <w:ind w:left="308" w:hanging="308"/>
              <w:jc w:val="center"/>
              <w:rPr>
                <w:b/>
                <w:sz w:val="24"/>
                <w:szCs w:val="24"/>
              </w:rPr>
            </w:pPr>
            <w:r w:rsidRPr="00872327">
              <w:rPr>
                <w:b/>
                <w:sz w:val="24"/>
                <w:szCs w:val="24"/>
              </w:rPr>
              <w:t xml:space="preserve">Figure 4: </w:t>
            </w:r>
            <w:r w:rsidRPr="00872327">
              <w:rPr>
                <w:rFonts w:cs="Arial"/>
                <w:b/>
                <w:sz w:val="24"/>
                <w:szCs w:val="24"/>
              </w:rPr>
              <w:t>JT Smith Correlation presented in terms of H</w:t>
            </w:r>
            <w:r w:rsidRPr="00872327">
              <w:rPr>
                <w:rFonts w:cs="Arial"/>
                <w:b/>
                <w:sz w:val="24"/>
                <w:szCs w:val="24"/>
                <w:vertAlign w:val="subscript"/>
              </w:rPr>
              <w:t>2</w:t>
            </w:r>
            <w:r w:rsidRPr="00872327">
              <w:rPr>
                <w:rFonts w:cs="Arial"/>
                <w:b/>
                <w:sz w:val="24"/>
                <w:szCs w:val="24"/>
              </w:rPr>
              <w:t>S fugacity as function of reservoir temperature using same database as ref 7 with fugacities calculated using the GERG-2008</w:t>
            </w:r>
            <w:r w:rsidRPr="00872327">
              <w:rPr>
                <w:rFonts w:cs="Arial"/>
                <w:b/>
                <w:sz w:val="24"/>
                <w:szCs w:val="24"/>
                <w:vertAlign w:val="superscript"/>
              </w:rPr>
              <w:t>8</w:t>
            </w:r>
            <w:r w:rsidRPr="00872327">
              <w:rPr>
                <w:rFonts w:cs="Arial"/>
                <w:b/>
                <w:sz w:val="24"/>
                <w:szCs w:val="24"/>
              </w:rPr>
              <w:t xml:space="preserve"> equation-of-state assuming the gas as pure methane.</w:t>
            </w:r>
          </w:p>
        </w:tc>
      </w:tr>
    </w:tbl>
    <w:p w:rsidR="00DC78B1" w:rsidRDefault="00DC78B1" w:rsidP="00DC78B1">
      <w:pPr>
        <w:pStyle w:val="BU"/>
        <w:spacing w:before="0" w:line="288" w:lineRule="exact"/>
        <w:jc w:val="both"/>
        <w:rPr>
          <w:rFonts w:ascii="Arial" w:hAnsi="Arial" w:cs="Arial"/>
          <w:sz w:val="24"/>
          <w:szCs w:val="24"/>
        </w:rPr>
      </w:pPr>
    </w:p>
    <w:p w:rsidR="00DC78B1" w:rsidRDefault="00DC78B1" w:rsidP="00DC78B1">
      <w:pPr>
        <w:pStyle w:val="BU"/>
        <w:spacing w:before="0" w:line="288" w:lineRule="exact"/>
        <w:jc w:val="both"/>
        <w:rPr>
          <w:rFonts w:ascii="Arial" w:hAnsi="Arial" w:cs="Arial"/>
          <w:sz w:val="24"/>
          <w:szCs w:val="24"/>
        </w:rPr>
      </w:pPr>
      <w:r>
        <w:rPr>
          <w:rFonts w:ascii="Arial" w:hAnsi="Arial" w:cs="Arial"/>
          <w:sz w:val="24"/>
          <w:szCs w:val="24"/>
        </w:rPr>
        <w:t>Since H</w:t>
      </w:r>
      <w:r w:rsidRPr="001847B5">
        <w:rPr>
          <w:rFonts w:ascii="Arial" w:hAnsi="Arial" w:cs="Arial"/>
          <w:sz w:val="24"/>
          <w:szCs w:val="24"/>
          <w:vertAlign w:val="subscript"/>
        </w:rPr>
        <w:t>2</w:t>
      </w:r>
      <w:r>
        <w:rPr>
          <w:rFonts w:ascii="Arial" w:hAnsi="Arial" w:cs="Arial"/>
          <w:sz w:val="24"/>
          <w:szCs w:val="24"/>
        </w:rPr>
        <w:t>S fugacity rather than partial pressure is of interest for sulfide stress crack propagation, the JT Smith Correlation should be revisited in this context. The gas phase H</w:t>
      </w:r>
      <w:r w:rsidRPr="001847B5">
        <w:rPr>
          <w:rFonts w:ascii="Arial" w:hAnsi="Arial" w:cs="Arial"/>
          <w:sz w:val="24"/>
          <w:szCs w:val="24"/>
          <w:vertAlign w:val="subscript"/>
        </w:rPr>
        <w:t>2</w:t>
      </w:r>
      <w:r>
        <w:rPr>
          <w:rFonts w:ascii="Arial" w:hAnsi="Arial" w:cs="Arial"/>
          <w:sz w:val="24"/>
          <w:szCs w:val="24"/>
        </w:rPr>
        <w:t>S partial pressure data used by Grimes and McNeil were converted to H</w:t>
      </w:r>
      <w:r w:rsidRPr="001847B5">
        <w:rPr>
          <w:rFonts w:ascii="Arial" w:hAnsi="Arial" w:cs="Arial"/>
          <w:sz w:val="24"/>
          <w:szCs w:val="24"/>
          <w:vertAlign w:val="subscript"/>
        </w:rPr>
        <w:t>2</w:t>
      </w:r>
      <w:r>
        <w:rPr>
          <w:rFonts w:ascii="Arial" w:hAnsi="Arial" w:cs="Arial"/>
          <w:sz w:val="24"/>
          <w:szCs w:val="24"/>
        </w:rPr>
        <w:t>S fugacity values using fugacity coefficients for H</w:t>
      </w:r>
      <w:r w:rsidRPr="001847B5">
        <w:rPr>
          <w:rFonts w:ascii="Arial" w:hAnsi="Arial" w:cs="Arial"/>
          <w:sz w:val="24"/>
          <w:szCs w:val="24"/>
          <w:vertAlign w:val="subscript"/>
        </w:rPr>
        <w:t>2</w:t>
      </w:r>
      <w:r>
        <w:rPr>
          <w:rFonts w:ascii="Arial" w:hAnsi="Arial" w:cs="Arial"/>
          <w:sz w:val="24"/>
          <w:szCs w:val="24"/>
        </w:rPr>
        <w:t>S calculated by the GERG-2008</w:t>
      </w:r>
      <w:r w:rsidRPr="00291A26">
        <w:rPr>
          <w:rFonts w:ascii="Arial" w:hAnsi="Arial" w:cs="Arial"/>
          <w:sz w:val="24"/>
          <w:szCs w:val="24"/>
          <w:vertAlign w:val="superscript"/>
        </w:rPr>
        <w:t>9</w:t>
      </w:r>
      <w:r>
        <w:rPr>
          <w:rFonts w:ascii="Arial" w:hAnsi="Arial" w:cs="Arial"/>
          <w:sz w:val="24"/>
          <w:szCs w:val="24"/>
        </w:rPr>
        <w:t xml:space="preserve"> model in the REFPROP program from </w:t>
      </w:r>
      <w:r w:rsidR="00595826">
        <w:rPr>
          <w:rFonts w:ascii="Arial" w:hAnsi="Arial" w:cs="Arial"/>
          <w:sz w:val="24"/>
          <w:szCs w:val="24"/>
        </w:rPr>
        <w:t>the National Institute of Science &amp; Technology (</w:t>
      </w:r>
      <w:r>
        <w:rPr>
          <w:rFonts w:ascii="Arial" w:hAnsi="Arial" w:cs="Arial"/>
          <w:sz w:val="24"/>
          <w:szCs w:val="24"/>
        </w:rPr>
        <w:t>NIST</w:t>
      </w:r>
      <w:r w:rsidR="009A5025" w:rsidRPr="009A5025">
        <w:rPr>
          <w:rFonts w:ascii="Arial" w:hAnsi="Arial" w:cs="Arial"/>
          <w:sz w:val="24"/>
          <w:szCs w:val="24"/>
          <w:vertAlign w:val="superscript"/>
        </w:rPr>
        <w:t>(</w:t>
      </w:r>
      <w:r w:rsidR="009A5025" w:rsidRPr="009A5025">
        <w:rPr>
          <w:rStyle w:val="FootnoteReference"/>
          <w:rFonts w:ascii="Arial" w:hAnsi="Arial" w:cs="Arial"/>
          <w:sz w:val="24"/>
          <w:szCs w:val="24"/>
        </w:rPr>
        <w:footnoteReference w:id="1"/>
      </w:r>
      <w:r w:rsidR="009A5025" w:rsidRPr="009A5025">
        <w:rPr>
          <w:rFonts w:ascii="Arial" w:hAnsi="Arial" w:cs="Arial"/>
          <w:sz w:val="24"/>
          <w:szCs w:val="24"/>
          <w:vertAlign w:val="superscript"/>
        </w:rPr>
        <w:t>)</w:t>
      </w:r>
      <w:r w:rsidR="00595826">
        <w:rPr>
          <w:rFonts w:ascii="Arial" w:hAnsi="Arial" w:cs="Arial"/>
          <w:sz w:val="24"/>
          <w:szCs w:val="24"/>
        </w:rPr>
        <w:t>)</w:t>
      </w:r>
      <w:r>
        <w:rPr>
          <w:rFonts w:ascii="Arial" w:hAnsi="Arial" w:cs="Arial"/>
          <w:sz w:val="24"/>
          <w:szCs w:val="24"/>
        </w:rPr>
        <w:t>.</w:t>
      </w:r>
      <w:r w:rsidRPr="00291A26">
        <w:rPr>
          <w:rFonts w:ascii="Arial" w:hAnsi="Arial" w:cs="Arial"/>
          <w:sz w:val="24"/>
          <w:szCs w:val="24"/>
          <w:vertAlign w:val="superscript"/>
        </w:rPr>
        <w:t>10</w:t>
      </w:r>
      <w:r>
        <w:rPr>
          <w:rFonts w:ascii="Arial" w:hAnsi="Arial" w:cs="Arial"/>
          <w:sz w:val="24"/>
          <w:szCs w:val="24"/>
        </w:rPr>
        <w:t xml:space="preserve"> Figure 4 shows that the H</w:t>
      </w:r>
      <w:r w:rsidRPr="001847B5">
        <w:rPr>
          <w:rFonts w:ascii="Arial" w:hAnsi="Arial" w:cs="Arial"/>
          <w:sz w:val="24"/>
          <w:szCs w:val="24"/>
          <w:vertAlign w:val="subscript"/>
        </w:rPr>
        <w:t>2</w:t>
      </w:r>
      <w:r>
        <w:rPr>
          <w:rFonts w:ascii="Arial" w:hAnsi="Arial" w:cs="Arial"/>
          <w:sz w:val="24"/>
          <w:szCs w:val="24"/>
        </w:rPr>
        <w:t>S fugacity values are systematically lower than the corresponding H</w:t>
      </w:r>
      <w:r w:rsidRPr="001847B5">
        <w:rPr>
          <w:rFonts w:ascii="Arial" w:hAnsi="Arial" w:cs="Arial"/>
          <w:sz w:val="24"/>
          <w:szCs w:val="24"/>
          <w:vertAlign w:val="subscript"/>
        </w:rPr>
        <w:t>2</w:t>
      </w:r>
      <w:r>
        <w:rPr>
          <w:rFonts w:ascii="Arial" w:hAnsi="Arial" w:cs="Arial"/>
          <w:sz w:val="24"/>
          <w:szCs w:val="24"/>
        </w:rPr>
        <w:t>S partial pressure values. The offset decreases with increasing temperature.  Thus, the correlation and 95% confidence lines for the fugacity-based plot are shifted to higher temperatures.  The 0.05 psi</w:t>
      </w:r>
      <w:r w:rsidR="005204E4">
        <w:rPr>
          <w:rFonts w:ascii="Arial" w:hAnsi="Arial" w:cs="Arial"/>
          <w:sz w:val="24"/>
          <w:szCs w:val="24"/>
        </w:rPr>
        <w:t xml:space="preserve"> (0.003 bar)</w:t>
      </w:r>
      <w:r>
        <w:rPr>
          <w:rFonts w:ascii="Arial" w:hAnsi="Arial" w:cs="Arial"/>
          <w:sz w:val="24"/>
          <w:szCs w:val="24"/>
        </w:rPr>
        <w:t xml:space="preserve"> H</w:t>
      </w:r>
      <w:r w:rsidRPr="001847B5">
        <w:rPr>
          <w:rFonts w:ascii="Arial" w:hAnsi="Arial" w:cs="Arial"/>
          <w:sz w:val="24"/>
          <w:szCs w:val="24"/>
          <w:vertAlign w:val="subscript"/>
        </w:rPr>
        <w:t>2</w:t>
      </w:r>
      <w:r>
        <w:rPr>
          <w:rFonts w:ascii="Arial" w:hAnsi="Arial" w:cs="Arial"/>
          <w:sz w:val="24"/>
          <w:szCs w:val="24"/>
        </w:rPr>
        <w:t xml:space="preserve">S </w:t>
      </w:r>
      <w:r w:rsidRPr="007F3DEE">
        <w:rPr>
          <w:rFonts w:ascii="Arial" w:hAnsi="Arial" w:cs="Arial"/>
          <w:i/>
          <w:sz w:val="24"/>
          <w:szCs w:val="24"/>
        </w:rPr>
        <w:t>fugacity</w:t>
      </w:r>
      <w:r>
        <w:rPr>
          <w:rFonts w:ascii="Arial" w:hAnsi="Arial" w:cs="Arial"/>
          <w:sz w:val="24"/>
          <w:szCs w:val="24"/>
        </w:rPr>
        <w:t xml:space="preserve"> level occurs (conservatively) at 293°F</w:t>
      </w:r>
      <w:r w:rsidR="005204E4">
        <w:rPr>
          <w:rFonts w:ascii="Arial" w:hAnsi="Arial" w:cs="Arial"/>
          <w:sz w:val="24"/>
          <w:szCs w:val="24"/>
        </w:rPr>
        <w:t xml:space="preserve"> (145°C)</w:t>
      </w:r>
      <w:r>
        <w:rPr>
          <w:rFonts w:ascii="Arial" w:hAnsi="Arial" w:cs="Arial"/>
          <w:sz w:val="24"/>
          <w:szCs w:val="24"/>
        </w:rPr>
        <w:t>, nearly a 20°F</w:t>
      </w:r>
      <w:r w:rsidR="005204E4">
        <w:rPr>
          <w:rFonts w:ascii="Arial" w:hAnsi="Arial" w:cs="Arial"/>
          <w:sz w:val="24"/>
          <w:szCs w:val="24"/>
        </w:rPr>
        <w:t xml:space="preserve"> (10°C)</w:t>
      </w:r>
      <w:r>
        <w:rPr>
          <w:rFonts w:ascii="Arial" w:hAnsi="Arial" w:cs="Arial"/>
          <w:sz w:val="24"/>
          <w:szCs w:val="24"/>
        </w:rPr>
        <w:t xml:space="preserve"> change. </w:t>
      </w:r>
    </w:p>
    <w:p w:rsidR="00DC78B1" w:rsidRDefault="00DC78B1" w:rsidP="00DC78B1">
      <w:pPr>
        <w:pStyle w:val="BU"/>
        <w:spacing w:before="0" w:line="288" w:lineRule="exact"/>
        <w:jc w:val="both"/>
        <w:rPr>
          <w:rFonts w:ascii="Arial" w:hAnsi="Arial" w:cs="Arial"/>
          <w:sz w:val="24"/>
          <w:szCs w:val="24"/>
        </w:rPr>
      </w:pPr>
    </w:p>
    <w:p w:rsidR="00DC78B1" w:rsidRDefault="00DC78B1" w:rsidP="00DC78B1">
      <w:pPr>
        <w:pStyle w:val="BU"/>
        <w:spacing w:before="0" w:line="288" w:lineRule="exact"/>
        <w:jc w:val="both"/>
        <w:rPr>
          <w:rFonts w:ascii="Arial" w:hAnsi="Arial" w:cs="Arial"/>
          <w:sz w:val="24"/>
          <w:szCs w:val="24"/>
        </w:rPr>
      </w:pPr>
      <w:r>
        <w:rPr>
          <w:rFonts w:ascii="Arial" w:hAnsi="Arial" w:cs="Arial"/>
          <w:sz w:val="24"/>
          <w:szCs w:val="24"/>
        </w:rPr>
        <w:lastRenderedPageBreak/>
        <w:t>The gases were modeled as pure methane because fugacity coefficients calculated using measured gas well compositions (typically &gt;90% CH</w:t>
      </w:r>
      <w:r w:rsidRPr="007F3DEE">
        <w:rPr>
          <w:rFonts w:ascii="Arial" w:hAnsi="Arial" w:cs="Arial"/>
          <w:sz w:val="24"/>
          <w:szCs w:val="24"/>
          <w:vertAlign w:val="subscript"/>
        </w:rPr>
        <w:t>4</w:t>
      </w:r>
      <w:r>
        <w:rPr>
          <w:rFonts w:ascii="Arial" w:hAnsi="Arial" w:cs="Arial"/>
          <w:sz w:val="24"/>
          <w:szCs w:val="24"/>
        </w:rPr>
        <w:t>) differed by less than 4% from values assuming pure methane.  The problem of calculating fugacities in the gas phase is equivalent to the problem of estimating volumetric properties.</w:t>
      </w:r>
      <w:r w:rsidRPr="00352819">
        <w:rPr>
          <w:rFonts w:ascii="Arial" w:hAnsi="Arial" w:cs="Arial"/>
          <w:sz w:val="24"/>
          <w:szCs w:val="24"/>
          <w:vertAlign w:val="superscript"/>
        </w:rPr>
        <w:t>11</w:t>
      </w:r>
      <w:r>
        <w:rPr>
          <w:rFonts w:ascii="Arial" w:hAnsi="Arial" w:cs="Arial"/>
          <w:sz w:val="24"/>
          <w:szCs w:val="24"/>
        </w:rPr>
        <w:t xml:space="preserve"> Figure 5 shows that molar volumes predicted by GERG-2008 for methane-hydrogen sulfide binary mixtures deviate from experimental data</w:t>
      </w:r>
      <w:r w:rsidRPr="00352819">
        <w:rPr>
          <w:rFonts w:ascii="Arial" w:hAnsi="Arial" w:cs="Arial"/>
          <w:sz w:val="24"/>
          <w:szCs w:val="24"/>
          <w:vertAlign w:val="superscript"/>
        </w:rPr>
        <w:t>12</w:t>
      </w:r>
      <w:r>
        <w:rPr>
          <w:rFonts w:ascii="Arial" w:hAnsi="Arial" w:cs="Arial"/>
          <w:sz w:val="24"/>
          <w:szCs w:val="24"/>
        </w:rPr>
        <w:t xml:space="preserve"> by less than about 0.5% even up to 10,000 psia</w:t>
      </w:r>
      <w:r w:rsidR="00114EF3">
        <w:rPr>
          <w:rFonts w:ascii="Arial" w:hAnsi="Arial" w:cs="Arial"/>
          <w:sz w:val="24"/>
          <w:szCs w:val="24"/>
        </w:rPr>
        <w:t xml:space="preserve"> (690 bar)</w:t>
      </w:r>
      <w:r>
        <w:rPr>
          <w:rFonts w:ascii="Arial" w:hAnsi="Arial" w:cs="Arial"/>
          <w:sz w:val="24"/>
          <w:szCs w:val="24"/>
        </w:rPr>
        <w:t>.  Errors of about 0.5% in molar volume prediction would correspond to uncertainties in predicted H</w:t>
      </w:r>
      <w:r w:rsidRPr="001847B5">
        <w:rPr>
          <w:rFonts w:ascii="Arial" w:hAnsi="Arial" w:cs="Arial"/>
          <w:sz w:val="24"/>
          <w:szCs w:val="24"/>
          <w:vertAlign w:val="subscript"/>
        </w:rPr>
        <w:t>2</w:t>
      </w:r>
      <w:r>
        <w:rPr>
          <w:rFonts w:ascii="Arial" w:hAnsi="Arial" w:cs="Arial"/>
          <w:sz w:val="24"/>
          <w:szCs w:val="24"/>
        </w:rPr>
        <w:t>S fugacity coefficients on the order of about 2% at 10,000 psia</w:t>
      </w:r>
      <w:r w:rsidR="00114EF3">
        <w:rPr>
          <w:rFonts w:ascii="Arial" w:hAnsi="Arial" w:cs="Arial"/>
          <w:sz w:val="24"/>
          <w:szCs w:val="24"/>
        </w:rPr>
        <w:t xml:space="preserve"> (690 bar)</w:t>
      </w:r>
      <w:r>
        <w:rPr>
          <w:rFonts w:ascii="Arial" w:hAnsi="Arial" w:cs="Arial"/>
          <w:sz w:val="24"/>
          <w:szCs w:val="24"/>
        </w:rPr>
        <w:t xml:space="preserve">.  Similar fugacity calculations for oil wells should probably consider further components.  </w:t>
      </w:r>
    </w:p>
    <w:p w:rsidR="00DC78B1" w:rsidRDefault="00DC78B1" w:rsidP="00DC78B1">
      <w:pPr>
        <w:pStyle w:val="BU"/>
        <w:spacing w:before="0" w:line="288" w:lineRule="exact"/>
        <w:jc w:val="both"/>
        <w:rPr>
          <w:rFonts w:ascii="Arial" w:hAnsi="Arial" w:cs="Arial"/>
          <w:sz w:val="24"/>
          <w:szCs w:val="24"/>
        </w:rPr>
      </w:pPr>
    </w:p>
    <w:p w:rsidR="00DC78B1" w:rsidRDefault="00DC78B1" w:rsidP="00DC78B1">
      <w:pPr>
        <w:pStyle w:val="BU"/>
        <w:spacing w:before="0" w:line="288" w:lineRule="exact"/>
        <w:jc w:val="both"/>
        <w:rPr>
          <w:rFonts w:ascii="Arial" w:hAnsi="Arial" w:cs="Arial"/>
          <w:sz w:val="24"/>
          <w:szCs w:val="24"/>
        </w:rPr>
      </w:pPr>
    </w:p>
    <w:bookmarkEnd w:id="2"/>
    <w:p w:rsidR="00DC78B1" w:rsidRDefault="00187536" w:rsidP="00DC78B1">
      <w:pPr>
        <w:jc w:val="center"/>
      </w:pPr>
      <w:r>
        <w:rPr>
          <w:noProof/>
        </w:rPr>
        <w:drawing>
          <wp:inline distT="0" distB="0" distL="0" distR="0">
            <wp:extent cx="4888230" cy="275209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88230" cy="2752090"/>
                    </a:xfrm>
                    <a:prstGeom prst="rect">
                      <a:avLst/>
                    </a:prstGeom>
                    <a:noFill/>
                    <a:ln>
                      <a:noFill/>
                    </a:ln>
                  </pic:spPr>
                </pic:pic>
              </a:graphicData>
            </a:graphic>
          </wp:inline>
        </w:drawing>
      </w:r>
    </w:p>
    <w:p w:rsidR="00DC78B1" w:rsidRPr="00872327" w:rsidRDefault="00DC78B1" w:rsidP="005E4432">
      <w:pPr>
        <w:pStyle w:val="Caption"/>
        <w:ind w:left="426" w:hanging="426"/>
        <w:jc w:val="center"/>
        <w:rPr>
          <w:b/>
          <w:sz w:val="24"/>
          <w:szCs w:val="24"/>
        </w:rPr>
      </w:pPr>
      <w:r w:rsidRPr="00872327">
        <w:rPr>
          <w:b/>
          <w:sz w:val="24"/>
          <w:szCs w:val="24"/>
        </w:rPr>
        <w:t>Figure 5: Molar volumes calculated with GERG-2008 deviate by less than about 0.5% from experimental data for binary methane-hydrogen sulfide (x</w:t>
      </w:r>
      <w:r w:rsidRPr="00872327">
        <w:rPr>
          <w:b/>
          <w:sz w:val="24"/>
          <w:szCs w:val="24"/>
          <w:vertAlign w:val="subscript"/>
        </w:rPr>
        <w:t>H2S</w:t>
      </w:r>
      <w:r w:rsidRPr="00872327">
        <w:rPr>
          <w:b/>
          <w:sz w:val="24"/>
          <w:szCs w:val="24"/>
        </w:rPr>
        <w:t xml:space="preserve"> = 0.1)</w:t>
      </w:r>
    </w:p>
    <w:p w:rsidR="00DC78B1" w:rsidRPr="002C47C4" w:rsidRDefault="00DC78B1" w:rsidP="00CE0D6B">
      <w:pPr>
        <w:jc w:val="both"/>
        <w:rPr>
          <w:rFonts w:ascii="Arial" w:hAnsi="Arial" w:cs="Arial"/>
          <w:b/>
        </w:rPr>
      </w:pPr>
      <w:r w:rsidRPr="002C47C4">
        <w:rPr>
          <w:rFonts w:ascii="Arial" w:hAnsi="Arial" w:cs="Arial"/>
          <w:b/>
        </w:rPr>
        <w:t>Cautions and Implications on Application to Wells</w:t>
      </w:r>
    </w:p>
    <w:p w:rsidR="00CE0D6B" w:rsidRPr="00E52607" w:rsidRDefault="00CE0D6B" w:rsidP="00CE0D6B">
      <w:pPr>
        <w:jc w:val="both"/>
        <w:rPr>
          <w:rFonts w:ascii="Arial" w:hAnsi="Arial" w:cs="Arial"/>
        </w:rPr>
      </w:pPr>
    </w:p>
    <w:p w:rsidR="00DC78B1" w:rsidRDefault="00DC78B1" w:rsidP="00DC78B1">
      <w:pPr>
        <w:pStyle w:val="BU"/>
        <w:spacing w:before="0" w:line="288" w:lineRule="exact"/>
        <w:jc w:val="both"/>
        <w:rPr>
          <w:rFonts w:ascii="Arial" w:hAnsi="Arial" w:cs="Arial"/>
          <w:sz w:val="24"/>
        </w:rPr>
      </w:pPr>
      <w:r w:rsidRPr="00E52607">
        <w:rPr>
          <w:rFonts w:ascii="Arial" w:hAnsi="Arial" w:cs="Arial"/>
          <w:sz w:val="24"/>
        </w:rPr>
        <w:t xml:space="preserve">In those situations where fugacity is applicable, it should be noted that temperature can have a significant impact on fugacity values.  When assessed in the context of a high pressure well, this impact should be considered when assessing material cracking resistance.  For example, to consider the impact of temperature, additional fugacity data needs to be added to Figure 1, as shown in, e.g., Figure </w:t>
      </w:r>
      <w:r>
        <w:rPr>
          <w:rFonts w:ascii="Arial" w:hAnsi="Arial" w:cs="Arial"/>
          <w:sz w:val="24"/>
        </w:rPr>
        <w:t>6</w:t>
      </w:r>
      <w:r w:rsidRPr="00E52607">
        <w:rPr>
          <w:rFonts w:ascii="Arial" w:hAnsi="Arial" w:cs="Arial"/>
          <w:sz w:val="24"/>
        </w:rPr>
        <w:t xml:space="preserve">. </w:t>
      </w:r>
    </w:p>
    <w:p w:rsidR="0077280E" w:rsidRPr="00E52607" w:rsidRDefault="0077280E" w:rsidP="0077280E">
      <w:pPr>
        <w:pStyle w:val="BU"/>
        <w:spacing w:after="120" w:line="288" w:lineRule="exact"/>
        <w:jc w:val="both"/>
        <w:rPr>
          <w:rFonts w:ascii="Arial" w:hAnsi="Arial" w:cs="Arial"/>
          <w:sz w:val="24"/>
        </w:rPr>
      </w:pPr>
      <w:r w:rsidRPr="008278C9">
        <w:rPr>
          <w:rFonts w:ascii="Arial" w:hAnsi="Arial" w:cs="Arial"/>
          <w:sz w:val="24"/>
        </w:rPr>
        <w:t>Thus in a high pressure well approximately representing this gas composition, one would not only need to consider the ambient static fluid compositions and pressure and temperature conditions, but also the impact of well operations to assess fH</w:t>
      </w:r>
      <w:r w:rsidRPr="00A4588A">
        <w:rPr>
          <w:rFonts w:ascii="Arial" w:hAnsi="Arial" w:cs="Arial"/>
          <w:sz w:val="24"/>
          <w:vertAlign w:val="subscript"/>
        </w:rPr>
        <w:t>2</w:t>
      </w:r>
      <w:r w:rsidRPr="008278C9">
        <w:rPr>
          <w:rFonts w:ascii="Arial" w:hAnsi="Arial" w:cs="Arial"/>
          <w:sz w:val="24"/>
        </w:rPr>
        <w:t xml:space="preserve">S.  Normally, when a well is flowing it will have a higher operating temperature, with a concurrent temperature impact on fugacity.  When a typical flowing well is shut-in, it will initially contain not only hotter fluids but will also very quickly reach the higher static pressure gradient.  Subsequently, the well will slowly cool to the static, ambient fugacity condition, traversing in the process all the fugacity exposures between, sometimes in a timeframe of months, as shown in Figure </w:t>
      </w:r>
      <w:r>
        <w:rPr>
          <w:rFonts w:ascii="Arial" w:hAnsi="Arial" w:cs="Arial"/>
          <w:sz w:val="24"/>
        </w:rPr>
        <w:t>7</w:t>
      </w:r>
      <w:r w:rsidRPr="0053418F">
        <w:rPr>
          <w:rFonts w:ascii="Arial" w:hAnsi="Arial" w:cs="Arial"/>
          <w:sz w:val="24"/>
        </w:rPr>
        <w:t>.</w:t>
      </w:r>
      <w:r w:rsidRPr="008278C9">
        <w:rPr>
          <w:rFonts w:ascii="Arial" w:hAnsi="Arial" w:cs="Arial"/>
          <w:sz w:val="24"/>
        </w:rPr>
        <w:t xml:space="preserve">  Such a long timeframe is a more than adequate time for SSC to typically occur.</w:t>
      </w:r>
    </w:p>
    <w:p w:rsidR="0077280E" w:rsidRPr="00E52607" w:rsidRDefault="0077280E" w:rsidP="00DC78B1">
      <w:pPr>
        <w:pStyle w:val="BU"/>
        <w:spacing w:before="0" w:line="288" w:lineRule="exact"/>
        <w:jc w:val="both"/>
        <w:rPr>
          <w:rFonts w:ascii="Arial" w:hAnsi="Arial" w:cs="Arial"/>
          <w:sz w:val="24"/>
        </w:rPr>
      </w:pPr>
    </w:p>
    <w:tbl>
      <w:tblPr>
        <w:tblW w:w="0" w:type="auto"/>
        <w:tblInd w:w="959" w:type="dxa"/>
        <w:tblLook w:val="04A0" w:firstRow="1" w:lastRow="0" w:firstColumn="1" w:lastColumn="0" w:noHBand="0" w:noVBand="1"/>
      </w:tblPr>
      <w:tblGrid>
        <w:gridCol w:w="7461"/>
      </w:tblGrid>
      <w:tr w:rsidR="00DC78B1" w:rsidRPr="00E52607" w:rsidTr="00CE0D6B">
        <w:trPr>
          <w:trHeight w:val="3955"/>
        </w:trPr>
        <w:tc>
          <w:tcPr>
            <w:tcW w:w="7461" w:type="dxa"/>
          </w:tcPr>
          <w:p w:rsidR="00DC78B1" w:rsidRPr="00872327" w:rsidRDefault="00187536" w:rsidP="005E4432">
            <w:pPr>
              <w:pStyle w:val="BU"/>
              <w:spacing w:before="0" w:line="288" w:lineRule="exact"/>
              <w:ind w:left="459" w:hanging="459"/>
              <w:jc w:val="center"/>
              <w:rPr>
                <w:rFonts w:ascii="Arial" w:hAnsi="Arial" w:cs="Arial"/>
                <w:b/>
                <w:sz w:val="24"/>
              </w:rPr>
            </w:pPr>
            <w:r>
              <w:rPr>
                <w:rFonts w:ascii="Arial" w:hAnsi="Arial" w:cs="Arial"/>
                <w:b/>
                <w:noProof/>
                <w:sz w:val="24"/>
                <w:lang w:eastAsia="en-US"/>
              </w:rPr>
              <w:lastRenderedPageBreak/>
              <w:drawing>
                <wp:anchor distT="0" distB="0" distL="114300" distR="114300" simplePos="0" relativeHeight="251656192" behindDoc="0" locked="0" layoutInCell="1" allowOverlap="1">
                  <wp:simplePos x="0" y="0"/>
                  <wp:positionH relativeFrom="column">
                    <wp:posOffset>527050</wp:posOffset>
                  </wp:positionH>
                  <wp:positionV relativeFrom="paragraph">
                    <wp:posOffset>13970</wp:posOffset>
                  </wp:positionV>
                  <wp:extent cx="3190240" cy="2238375"/>
                  <wp:effectExtent l="0" t="0" r="0" b="9525"/>
                  <wp:wrapTopAndBottom/>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90240" cy="2238375"/>
                          </a:xfrm>
                          <a:prstGeom prst="rect">
                            <a:avLst/>
                          </a:prstGeom>
                          <a:noFill/>
                        </pic:spPr>
                      </pic:pic>
                    </a:graphicData>
                  </a:graphic>
                  <wp14:sizeRelH relativeFrom="page">
                    <wp14:pctWidth>0</wp14:pctWidth>
                  </wp14:sizeRelH>
                  <wp14:sizeRelV relativeFrom="page">
                    <wp14:pctHeight>0</wp14:pctHeight>
                  </wp14:sizeRelV>
                </wp:anchor>
              </w:drawing>
            </w:r>
          </w:p>
        </w:tc>
      </w:tr>
    </w:tbl>
    <w:p w:rsidR="0077280E" w:rsidRDefault="0077280E" w:rsidP="0077280E">
      <w:pPr>
        <w:pStyle w:val="BU"/>
        <w:spacing w:after="120" w:line="288" w:lineRule="exact"/>
        <w:jc w:val="center"/>
        <w:rPr>
          <w:rFonts w:ascii="Arial" w:hAnsi="Arial" w:cs="Arial"/>
          <w:sz w:val="24"/>
        </w:rPr>
      </w:pPr>
      <w:r w:rsidRPr="00872327">
        <w:rPr>
          <w:rFonts w:ascii="Arial" w:hAnsi="Arial" w:cs="Arial"/>
          <w:b/>
          <w:sz w:val="24"/>
        </w:rPr>
        <w:t>Figure 6 – The Fugacity Coefficient of H</w:t>
      </w:r>
      <w:r w:rsidRPr="00872327">
        <w:rPr>
          <w:rFonts w:ascii="Arial" w:hAnsi="Arial" w:cs="Arial"/>
          <w:b/>
          <w:sz w:val="24"/>
          <w:vertAlign w:val="subscript"/>
        </w:rPr>
        <w:t>2</w:t>
      </w:r>
      <w:r w:rsidRPr="00872327">
        <w:rPr>
          <w:rFonts w:ascii="Arial" w:hAnsi="Arial" w:cs="Arial"/>
          <w:b/>
          <w:sz w:val="24"/>
        </w:rPr>
        <w:t>S versus Pressure and Temperature.  Note that the fugacity coefficient shown, as calculated using a proprietary cubic equation-of-state, will change with the gas composition and is not a generalization.</w:t>
      </w:r>
    </w:p>
    <w:tbl>
      <w:tblPr>
        <w:tblW w:w="0" w:type="auto"/>
        <w:tblLook w:val="04A0" w:firstRow="1" w:lastRow="0" w:firstColumn="1" w:lastColumn="0" w:noHBand="0" w:noVBand="1"/>
      </w:tblPr>
      <w:tblGrid>
        <w:gridCol w:w="9286"/>
      </w:tblGrid>
      <w:tr w:rsidR="00DC78B1" w:rsidRPr="00E52607" w:rsidTr="0037435A">
        <w:trPr>
          <w:trHeight w:val="5224"/>
        </w:trPr>
        <w:tc>
          <w:tcPr>
            <w:tcW w:w="9286" w:type="dxa"/>
          </w:tcPr>
          <w:p w:rsidR="00DC78B1" w:rsidRPr="00E568CC" w:rsidRDefault="00187536" w:rsidP="005E4432">
            <w:pPr>
              <w:pStyle w:val="BU"/>
              <w:spacing w:before="0" w:line="288" w:lineRule="exact"/>
              <w:ind w:left="426" w:hanging="426"/>
              <w:jc w:val="center"/>
              <w:rPr>
                <w:rFonts w:ascii="Arial" w:hAnsi="Arial" w:cs="Arial"/>
                <w:sz w:val="24"/>
              </w:rPr>
            </w:pPr>
            <w:r>
              <w:rPr>
                <w:rFonts w:ascii="Arial" w:hAnsi="Arial" w:cs="Arial"/>
                <w:b/>
                <w:noProof/>
                <w:sz w:val="24"/>
                <w:lang w:eastAsia="en-US"/>
              </w:rPr>
              <w:drawing>
                <wp:anchor distT="0" distB="0" distL="114300" distR="114300" simplePos="0" relativeHeight="251655168" behindDoc="0" locked="0" layoutInCell="1" allowOverlap="1">
                  <wp:simplePos x="0" y="0"/>
                  <wp:positionH relativeFrom="column">
                    <wp:posOffset>909320</wp:posOffset>
                  </wp:positionH>
                  <wp:positionV relativeFrom="paragraph">
                    <wp:posOffset>-2540</wp:posOffset>
                  </wp:positionV>
                  <wp:extent cx="3943350" cy="2867025"/>
                  <wp:effectExtent l="0" t="0" r="0" b="9525"/>
                  <wp:wrapTopAndBottom/>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43350" cy="2867025"/>
                          </a:xfrm>
                          <a:prstGeom prst="rect">
                            <a:avLst/>
                          </a:prstGeom>
                          <a:noFill/>
                        </pic:spPr>
                      </pic:pic>
                    </a:graphicData>
                  </a:graphic>
                  <wp14:sizeRelH relativeFrom="page">
                    <wp14:pctWidth>0</wp14:pctWidth>
                  </wp14:sizeRelH>
                  <wp14:sizeRelV relativeFrom="page">
                    <wp14:pctHeight>0</wp14:pctHeight>
                  </wp14:sizeRelV>
                </wp:anchor>
              </w:drawing>
            </w:r>
            <w:r w:rsidR="00DC78B1" w:rsidRPr="00872327">
              <w:rPr>
                <w:rFonts w:ascii="Arial" w:hAnsi="Arial" w:cs="Arial"/>
                <w:b/>
                <w:sz w:val="24"/>
              </w:rPr>
              <w:t>Figure 7 – Example demonstrating impact of “gas” well operating conditions on fugacity</w:t>
            </w:r>
            <w:r w:rsidR="005F6471" w:rsidRPr="005F6471">
              <w:rPr>
                <w:rFonts w:ascii="Arial" w:hAnsi="Arial" w:cs="Arial"/>
                <w:b/>
                <w:sz w:val="24"/>
                <w:vertAlign w:val="superscript"/>
              </w:rPr>
              <w:t>(</w:t>
            </w:r>
            <w:r w:rsidR="00DC78B1" w:rsidRPr="005F6471">
              <w:rPr>
                <w:rStyle w:val="FootnoteReference"/>
                <w:rFonts w:ascii="Arial" w:hAnsi="Arial" w:cs="Arial"/>
                <w:b/>
                <w:sz w:val="24"/>
              </w:rPr>
              <w:footnoteReference w:id="2"/>
            </w:r>
            <w:r w:rsidR="005F6471" w:rsidRPr="005F6471">
              <w:rPr>
                <w:rFonts w:ascii="Arial" w:hAnsi="Arial" w:cs="Arial"/>
                <w:b/>
                <w:sz w:val="24"/>
                <w:vertAlign w:val="superscript"/>
              </w:rPr>
              <w:t>)</w:t>
            </w:r>
            <w:r w:rsidR="00DC78B1" w:rsidRPr="00872327">
              <w:rPr>
                <w:rFonts w:ascii="Arial" w:hAnsi="Arial" w:cs="Arial"/>
                <w:b/>
                <w:sz w:val="24"/>
              </w:rPr>
              <w:t>. Shown are example (a) ambient equilibrium shut-in condition and (b) condition soon after shut-in from a flowing state.  The time required to cool from condition (b) to (a) may be months. To use fugacity, intermediate conditions need proper consideration.</w:t>
            </w:r>
          </w:p>
        </w:tc>
      </w:tr>
    </w:tbl>
    <w:p w:rsidR="00DC78B1" w:rsidRPr="00E52607" w:rsidRDefault="00DC78B1" w:rsidP="00DC78B1">
      <w:pPr>
        <w:pStyle w:val="BU"/>
        <w:spacing w:after="120" w:line="288" w:lineRule="exact"/>
        <w:jc w:val="both"/>
        <w:rPr>
          <w:rFonts w:ascii="Arial" w:hAnsi="Arial" w:cs="Arial"/>
          <w:sz w:val="24"/>
        </w:rPr>
      </w:pPr>
      <w:r w:rsidRPr="008278C9">
        <w:rPr>
          <w:rFonts w:ascii="Arial" w:hAnsi="Arial" w:cs="Arial"/>
          <w:sz w:val="24"/>
        </w:rPr>
        <w:t>Of concern is the implication of using fugacity versus other calculation protocols published in ISO 15156.  Per ISO 15156, Part 2, Annex C, Section C.2, in systems where no gas phase is present, calculations are shown whereby the partial pressure of H</w:t>
      </w:r>
      <w:r w:rsidRPr="008278C9">
        <w:rPr>
          <w:rFonts w:ascii="Arial" w:hAnsi="Arial" w:cs="Arial"/>
          <w:sz w:val="24"/>
          <w:vertAlign w:val="subscript"/>
        </w:rPr>
        <w:t>2</w:t>
      </w:r>
      <w:r w:rsidRPr="008278C9">
        <w:rPr>
          <w:rFonts w:ascii="Arial" w:hAnsi="Arial" w:cs="Arial"/>
          <w:sz w:val="24"/>
        </w:rPr>
        <w:t xml:space="preserve">S at the bubble-point of a gas-liquid system is acceptable.  However, fugacity is sensitive to the total pressure, and as shown by the example in Figure </w:t>
      </w:r>
      <w:r>
        <w:rPr>
          <w:rFonts w:ascii="Arial" w:hAnsi="Arial" w:cs="Arial"/>
          <w:sz w:val="24"/>
        </w:rPr>
        <w:t>8 and 9</w:t>
      </w:r>
      <w:r w:rsidRPr="008278C9">
        <w:rPr>
          <w:rFonts w:ascii="Arial" w:hAnsi="Arial" w:cs="Arial"/>
          <w:sz w:val="24"/>
        </w:rPr>
        <w:t xml:space="preserve">, use of a bubble-point partial pressure may be non-conservative compared to fugacity, especially in cases where high pressures are encountered.   </w:t>
      </w:r>
    </w:p>
    <w:tbl>
      <w:tblPr>
        <w:tblW w:w="9072" w:type="dxa"/>
        <w:tblInd w:w="250" w:type="dxa"/>
        <w:tblLayout w:type="fixed"/>
        <w:tblLook w:val="04A0" w:firstRow="1" w:lastRow="0" w:firstColumn="1" w:lastColumn="0" w:noHBand="0" w:noVBand="1"/>
      </w:tblPr>
      <w:tblGrid>
        <w:gridCol w:w="9072"/>
      </w:tblGrid>
      <w:tr w:rsidR="00DC78B1" w:rsidRPr="00E52607" w:rsidTr="0037435A">
        <w:tc>
          <w:tcPr>
            <w:tcW w:w="9072" w:type="dxa"/>
          </w:tcPr>
          <w:p w:rsidR="00DC78B1" w:rsidRPr="00872327" w:rsidRDefault="00187536" w:rsidP="005E4432">
            <w:pPr>
              <w:pStyle w:val="BU"/>
              <w:spacing w:before="0" w:after="120" w:line="288" w:lineRule="exact"/>
              <w:ind w:left="459" w:hanging="459"/>
              <w:jc w:val="center"/>
              <w:rPr>
                <w:rFonts w:ascii="Arial" w:hAnsi="Arial" w:cs="Arial"/>
                <w:b/>
                <w:sz w:val="24"/>
              </w:rPr>
            </w:pPr>
            <w:r>
              <w:rPr>
                <w:rFonts w:ascii="Arial" w:hAnsi="Arial" w:cs="Arial"/>
                <w:b/>
                <w:noProof/>
                <w:sz w:val="24"/>
                <w:lang w:eastAsia="en-US"/>
              </w:rPr>
              <w:lastRenderedPageBreak/>
              <w:drawing>
                <wp:anchor distT="0" distB="0" distL="114300" distR="114300" simplePos="0" relativeHeight="251654144" behindDoc="0" locked="0" layoutInCell="1" allowOverlap="1">
                  <wp:simplePos x="0" y="0"/>
                  <wp:positionH relativeFrom="column">
                    <wp:posOffset>207645</wp:posOffset>
                  </wp:positionH>
                  <wp:positionV relativeFrom="paragraph">
                    <wp:posOffset>19050</wp:posOffset>
                  </wp:positionV>
                  <wp:extent cx="5181600" cy="2876550"/>
                  <wp:effectExtent l="0" t="0" r="0" b="0"/>
                  <wp:wrapTopAndBottom/>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81600" cy="2876550"/>
                          </a:xfrm>
                          <a:prstGeom prst="rect">
                            <a:avLst/>
                          </a:prstGeom>
                          <a:noFill/>
                        </pic:spPr>
                      </pic:pic>
                    </a:graphicData>
                  </a:graphic>
                  <wp14:sizeRelH relativeFrom="page">
                    <wp14:pctWidth>0</wp14:pctWidth>
                  </wp14:sizeRelH>
                  <wp14:sizeRelV relativeFrom="page">
                    <wp14:pctHeight>0</wp14:pctHeight>
                  </wp14:sizeRelV>
                </wp:anchor>
              </w:drawing>
            </w:r>
            <w:r w:rsidR="00DC78B1" w:rsidRPr="00872327">
              <w:rPr>
                <w:rFonts w:ascii="Arial" w:hAnsi="Arial" w:cs="Arial"/>
                <w:b/>
                <w:sz w:val="24"/>
              </w:rPr>
              <w:t>Figure 8 – Example of an “Oil” well H</w:t>
            </w:r>
            <w:r w:rsidR="00DC78B1" w:rsidRPr="00872327">
              <w:rPr>
                <w:rFonts w:ascii="Arial" w:hAnsi="Arial" w:cs="Arial"/>
                <w:b/>
                <w:sz w:val="24"/>
                <w:vertAlign w:val="subscript"/>
              </w:rPr>
              <w:t>2</w:t>
            </w:r>
            <w:r w:rsidR="00DC78B1" w:rsidRPr="00872327">
              <w:rPr>
                <w:rFonts w:ascii="Arial" w:hAnsi="Arial" w:cs="Arial"/>
                <w:b/>
                <w:sz w:val="24"/>
              </w:rPr>
              <w:t>S Pressure calculation using an ISO 15156 P2, C.2 “bubble-point” protocol</w:t>
            </w:r>
            <w:r w:rsidR="005F6471" w:rsidRPr="005F6471">
              <w:rPr>
                <w:rFonts w:ascii="Arial" w:hAnsi="Arial" w:cs="Arial"/>
                <w:b/>
                <w:sz w:val="24"/>
                <w:vertAlign w:val="superscript"/>
              </w:rPr>
              <w:t>(</w:t>
            </w:r>
            <w:r w:rsidR="00DC78B1" w:rsidRPr="005F6471">
              <w:rPr>
                <w:rStyle w:val="FootnoteReference"/>
                <w:rFonts w:ascii="Arial" w:hAnsi="Arial" w:cs="Arial"/>
                <w:b/>
                <w:sz w:val="24"/>
              </w:rPr>
              <w:footnoteReference w:id="3"/>
            </w:r>
            <w:r w:rsidR="005F6471" w:rsidRPr="005F6471">
              <w:rPr>
                <w:rFonts w:ascii="Arial" w:hAnsi="Arial" w:cs="Arial"/>
                <w:b/>
                <w:sz w:val="24"/>
                <w:vertAlign w:val="superscript"/>
              </w:rPr>
              <w:t>)</w:t>
            </w:r>
            <w:r w:rsidR="00DC78B1" w:rsidRPr="00872327">
              <w:rPr>
                <w:rFonts w:ascii="Arial" w:hAnsi="Arial" w:cs="Arial"/>
                <w:b/>
                <w:sz w:val="24"/>
              </w:rPr>
              <w:t xml:space="preserve"> compared to one for Fugacity</w:t>
            </w:r>
            <w:r w:rsidR="00DC78B1" w:rsidRPr="00872327">
              <w:rPr>
                <w:rFonts w:ascii="Arial" w:hAnsi="Arial" w:cs="Arial"/>
                <w:b/>
                <w:sz w:val="24"/>
                <w:vertAlign w:val="superscript"/>
              </w:rPr>
              <w:t>3</w:t>
            </w:r>
          </w:p>
        </w:tc>
      </w:tr>
    </w:tbl>
    <w:p w:rsidR="00DC78B1" w:rsidRPr="00091129" w:rsidRDefault="00DC78B1" w:rsidP="00DC78B1">
      <w:pPr>
        <w:pStyle w:val="BU"/>
        <w:spacing w:before="0" w:line="288" w:lineRule="exact"/>
        <w:ind w:left="142" w:hanging="142"/>
        <w:rPr>
          <w:rFonts w:ascii="Arial" w:hAnsi="Arial" w:cs="Arial"/>
          <w:sz w:val="12"/>
        </w:rPr>
      </w:pPr>
    </w:p>
    <w:tbl>
      <w:tblPr>
        <w:tblW w:w="0" w:type="auto"/>
        <w:tblInd w:w="142" w:type="dxa"/>
        <w:tblBorders>
          <w:insideH w:val="single" w:sz="4" w:space="0" w:color="auto"/>
          <w:insideV w:val="single" w:sz="4" w:space="0" w:color="auto"/>
        </w:tblBorders>
        <w:tblLook w:val="04A0" w:firstRow="1" w:lastRow="0" w:firstColumn="1" w:lastColumn="0" w:noHBand="0" w:noVBand="1"/>
      </w:tblPr>
      <w:tblGrid>
        <w:gridCol w:w="9286"/>
      </w:tblGrid>
      <w:tr w:rsidR="00DC78B1" w:rsidTr="0037435A">
        <w:trPr>
          <w:trHeight w:val="5904"/>
        </w:trPr>
        <w:tc>
          <w:tcPr>
            <w:tcW w:w="9286" w:type="dxa"/>
          </w:tcPr>
          <w:p w:rsidR="00DC78B1" w:rsidRPr="00872327" w:rsidRDefault="00187536" w:rsidP="005E4432">
            <w:pPr>
              <w:pStyle w:val="BU"/>
              <w:spacing w:before="0" w:after="120" w:line="288" w:lineRule="exact"/>
              <w:ind w:left="425" w:hanging="425"/>
              <w:jc w:val="center"/>
              <w:rPr>
                <w:rFonts w:ascii="Arial" w:hAnsi="Arial" w:cs="Arial"/>
                <w:b/>
                <w:color w:val="FF0000"/>
                <w:sz w:val="24"/>
              </w:rPr>
            </w:pPr>
            <w:r>
              <w:rPr>
                <w:rFonts w:ascii="Arial" w:hAnsi="Arial" w:cs="Arial"/>
                <w:b/>
                <w:noProof/>
                <w:sz w:val="24"/>
                <w:lang w:eastAsia="en-US"/>
              </w:rPr>
              <w:drawing>
                <wp:anchor distT="0" distB="0" distL="114300" distR="114300" simplePos="0" relativeHeight="251661312" behindDoc="0" locked="0" layoutInCell="1" allowOverlap="1">
                  <wp:simplePos x="0" y="0"/>
                  <wp:positionH relativeFrom="column">
                    <wp:posOffset>2776855</wp:posOffset>
                  </wp:positionH>
                  <wp:positionV relativeFrom="paragraph">
                    <wp:posOffset>-635</wp:posOffset>
                  </wp:positionV>
                  <wp:extent cx="2807970" cy="2980055"/>
                  <wp:effectExtent l="0" t="0" r="0" b="0"/>
                  <wp:wrapSquare wrapText="bothSides"/>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l="15468" t="1439" r="7140" b="7674"/>
                          <a:stretch>
                            <a:fillRect/>
                          </a:stretch>
                        </pic:blipFill>
                        <pic:spPr bwMode="auto">
                          <a:xfrm>
                            <a:off x="0" y="0"/>
                            <a:ext cx="2807970" cy="29800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 w:val="24"/>
                <w:lang w:eastAsia="en-US"/>
              </w:rPr>
              <w:drawing>
                <wp:anchor distT="0" distB="0" distL="114300" distR="114300" simplePos="0" relativeHeight="251660288" behindDoc="0" locked="0" layoutInCell="1" allowOverlap="1">
                  <wp:simplePos x="0" y="0"/>
                  <wp:positionH relativeFrom="column">
                    <wp:posOffset>-193040</wp:posOffset>
                  </wp:positionH>
                  <wp:positionV relativeFrom="paragraph">
                    <wp:posOffset>-183515</wp:posOffset>
                  </wp:positionV>
                  <wp:extent cx="2825750" cy="2980055"/>
                  <wp:effectExtent l="0" t="0" r="0" b="0"/>
                  <wp:wrapSquare wrapText="bothSides"/>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l="15205" t="1318" r="7132" b="7692"/>
                          <a:stretch>
                            <a:fillRect/>
                          </a:stretch>
                        </pic:blipFill>
                        <pic:spPr bwMode="auto">
                          <a:xfrm>
                            <a:off x="0" y="0"/>
                            <a:ext cx="2825750" cy="29800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 w:val="24"/>
                <w:lang w:eastAsia="en-US"/>
              </w:rPr>
              <mc:AlternateContent>
                <mc:Choice Requires="wps">
                  <w:drawing>
                    <wp:anchor distT="0" distB="0" distL="114300" distR="114300" simplePos="0" relativeHeight="251657216" behindDoc="0" locked="0" layoutInCell="1" allowOverlap="1">
                      <wp:simplePos x="0" y="0"/>
                      <wp:positionH relativeFrom="column">
                        <wp:posOffset>4791075</wp:posOffset>
                      </wp:positionH>
                      <wp:positionV relativeFrom="paragraph">
                        <wp:posOffset>828675</wp:posOffset>
                      </wp:positionV>
                      <wp:extent cx="409575" cy="1638300"/>
                      <wp:effectExtent l="9525" t="9525" r="9525" b="952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638300"/>
                              </a:xfrm>
                              <a:prstGeom prst="rect">
                                <a:avLst/>
                              </a:prstGeom>
                              <a:solidFill>
                                <a:srgbClr val="FFFFFF"/>
                              </a:solidFill>
                              <a:ln w="9525">
                                <a:solidFill>
                                  <a:srgbClr val="000000"/>
                                </a:solidFill>
                                <a:miter lim="800000"/>
                                <a:headEnd/>
                                <a:tailEnd/>
                              </a:ln>
                            </wps:spPr>
                            <wps:txbx>
                              <w:txbxContent>
                                <w:p w:rsidR="00DC78B1" w:rsidRDefault="00DC78B1" w:rsidP="00DC78B1">
                                  <w:r>
                                    <w:t xml:space="preserve">Aq. Concentration, mg/l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77.25pt;margin-top:65.25pt;width:32.25pt;height:1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">
                      <v:textbox style="layout-flow:vertical;mso-layout-flow-alt:bottom-to-top">
                        <w:txbxContent>
                          <w:p w:rsidR="00DC78B1" w:rsidRDefault="00DC78B1" w:rsidP="00DC78B1">
                            <w:r>
                              <w:t xml:space="preserve">Aq. Concentration, mg/l </w:t>
                            </w:r>
                          </w:p>
                        </w:txbxContent>
                      </v:textbox>
                    </v:shape>
                  </w:pict>
                </mc:Fallback>
              </mc:AlternateContent>
            </w:r>
            <w:r w:rsidR="00DC78B1" w:rsidRPr="00872327">
              <w:rPr>
                <w:rFonts w:ascii="Arial" w:hAnsi="Arial" w:cs="Arial"/>
                <w:b/>
                <w:sz w:val="24"/>
              </w:rPr>
              <w:t>Figure 9: Calculations</w:t>
            </w:r>
            <w:r w:rsidR="00DC78B1" w:rsidRPr="00872327">
              <w:rPr>
                <w:rFonts w:ascii="Arial" w:hAnsi="Arial" w:cs="Arial"/>
                <w:b/>
                <w:sz w:val="24"/>
                <w:vertAlign w:val="superscript"/>
              </w:rPr>
              <w:t>4</w:t>
            </w:r>
            <w:r w:rsidR="00DC78B1" w:rsidRPr="00872327">
              <w:rPr>
                <w:rFonts w:ascii="Arial" w:hAnsi="Arial" w:cs="Arial"/>
                <w:b/>
                <w:sz w:val="24"/>
              </w:rPr>
              <w:t xml:space="preserve"> of </w:t>
            </w:r>
            <w:r w:rsidR="00DC78B1" w:rsidRPr="00872327">
              <w:rPr>
                <w:b/>
                <w:i/>
                <w:sz w:val="24"/>
              </w:rPr>
              <w:t>P</w:t>
            </w:r>
            <w:r w:rsidR="00DC78B1" w:rsidRPr="00872327">
              <w:rPr>
                <w:b/>
                <w:i/>
                <w:sz w:val="24"/>
                <w:vertAlign w:val="subscript"/>
              </w:rPr>
              <w:t>H</w:t>
            </w:r>
            <w:r w:rsidR="00DC78B1" w:rsidRPr="00872327">
              <w:rPr>
                <w:b/>
                <w:i/>
                <w:sz w:val="18"/>
                <w:vertAlign w:val="subscript"/>
              </w:rPr>
              <w:t>2</w:t>
            </w:r>
            <w:r w:rsidR="00DC78B1" w:rsidRPr="00872327">
              <w:rPr>
                <w:b/>
                <w:i/>
                <w:sz w:val="24"/>
                <w:vertAlign w:val="subscript"/>
              </w:rPr>
              <w:t>S</w:t>
            </w:r>
            <w:r w:rsidR="00DC78B1" w:rsidRPr="00872327">
              <w:rPr>
                <w:rFonts w:ascii="Arial" w:hAnsi="Arial" w:cs="Arial"/>
                <w:b/>
                <w:sz w:val="24"/>
              </w:rPr>
              <w:t xml:space="preserve">, </w:t>
            </w:r>
            <w:r w:rsidR="00DC78B1" w:rsidRPr="00872327">
              <w:rPr>
                <w:b/>
                <w:i/>
                <w:sz w:val="28"/>
              </w:rPr>
              <w:t>f</w:t>
            </w:r>
            <w:r w:rsidR="00DC78B1" w:rsidRPr="00872327">
              <w:rPr>
                <w:b/>
                <w:i/>
                <w:sz w:val="24"/>
                <w:vertAlign w:val="subscript"/>
              </w:rPr>
              <w:t>H</w:t>
            </w:r>
            <w:r w:rsidR="00DC78B1" w:rsidRPr="00872327">
              <w:rPr>
                <w:b/>
                <w:i/>
                <w:sz w:val="18"/>
                <w:vertAlign w:val="subscript"/>
              </w:rPr>
              <w:t>2</w:t>
            </w:r>
            <w:r w:rsidR="00DC78B1" w:rsidRPr="00872327">
              <w:rPr>
                <w:b/>
                <w:i/>
                <w:sz w:val="24"/>
                <w:vertAlign w:val="subscript"/>
              </w:rPr>
              <w:t>S</w:t>
            </w:r>
            <w:r w:rsidR="00DC78B1" w:rsidRPr="00872327">
              <w:rPr>
                <w:rFonts w:ascii="Arial" w:hAnsi="Arial" w:cs="Arial"/>
                <w:b/>
                <w:sz w:val="24"/>
              </w:rPr>
              <w:t xml:space="preserve">, and </w:t>
            </w:r>
            <w:r w:rsidR="00DC78B1" w:rsidRPr="00872327">
              <w:rPr>
                <w:b/>
                <w:i/>
                <w:sz w:val="28"/>
              </w:rPr>
              <w:t>x</w:t>
            </w:r>
            <w:r w:rsidR="00DC78B1" w:rsidRPr="00872327">
              <w:rPr>
                <w:b/>
                <w:i/>
                <w:sz w:val="24"/>
                <w:vertAlign w:val="subscript"/>
              </w:rPr>
              <w:t>H</w:t>
            </w:r>
            <w:r w:rsidR="00DC78B1" w:rsidRPr="00872327">
              <w:rPr>
                <w:b/>
                <w:i/>
                <w:sz w:val="18"/>
                <w:vertAlign w:val="subscript"/>
              </w:rPr>
              <w:t>2</w:t>
            </w:r>
            <w:r w:rsidR="00DC78B1" w:rsidRPr="00872327">
              <w:rPr>
                <w:b/>
                <w:i/>
                <w:sz w:val="24"/>
                <w:vertAlign w:val="subscript"/>
              </w:rPr>
              <w:t>S</w:t>
            </w:r>
            <w:r w:rsidR="00DC78B1" w:rsidRPr="00872327">
              <w:rPr>
                <w:rFonts w:ascii="Arial" w:hAnsi="Arial" w:cs="Arial"/>
                <w:b/>
                <w:sz w:val="24"/>
              </w:rPr>
              <w:t xml:space="preserve"> for 10 ppm H</w:t>
            </w:r>
            <w:r w:rsidR="00DC78B1" w:rsidRPr="00872327">
              <w:rPr>
                <w:rFonts w:ascii="Arial" w:hAnsi="Arial" w:cs="Arial"/>
                <w:b/>
                <w:sz w:val="24"/>
                <w:vertAlign w:val="subscript"/>
              </w:rPr>
              <w:t>2</w:t>
            </w:r>
            <w:r w:rsidR="00DC78B1" w:rsidRPr="00872327">
              <w:rPr>
                <w:rFonts w:ascii="Arial" w:hAnsi="Arial" w:cs="Arial"/>
                <w:b/>
                <w:sz w:val="24"/>
              </w:rPr>
              <w:t>S in a 45:45:10 molar Methane:Decane:Water fluid at 25° and 100°C, with a pressure bubble point of 146  bar @ 25</w:t>
            </w:r>
            <w:r w:rsidR="00DC78B1" w:rsidRPr="00872327">
              <w:rPr>
                <w:rFonts w:ascii="Arial" w:hAnsi="Arial" w:cs="Arial"/>
                <w:b/>
                <w:sz w:val="24"/>
                <w:vertAlign w:val="superscript"/>
              </w:rPr>
              <w:t>o</w:t>
            </w:r>
            <w:r w:rsidR="00DC78B1" w:rsidRPr="00872327">
              <w:rPr>
                <w:rFonts w:ascii="Arial" w:hAnsi="Arial" w:cs="Arial"/>
                <w:b/>
                <w:sz w:val="24"/>
              </w:rPr>
              <w:t>C and 178 bar @ 100°C. (Note: Above P</w:t>
            </w:r>
            <w:r w:rsidR="00DC78B1" w:rsidRPr="00872327">
              <w:rPr>
                <w:rFonts w:ascii="Arial" w:hAnsi="Arial" w:cs="Arial"/>
                <w:b/>
                <w:sz w:val="24"/>
                <w:vertAlign w:val="subscript"/>
              </w:rPr>
              <w:t>Bubblepoint</w:t>
            </w:r>
            <w:r w:rsidR="00DC78B1" w:rsidRPr="00872327">
              <w:rPr>
                <w:rFonts w:ascii="Arial" w:hAnsi="Arial" w:cs="Arial"/>
                <w:b/>
                <w:sz w:val="24"/>
              </w:rPr>
              <w:t>, calculations were performed based on the bubblepoint gas composition using both “P</w:t>
            </w:r>
            <w:r w:rsidR="00DC78B1" w:rsidRPr="00872327">
              <w:rPr>
                <w:rFonts w:ascii="Arial" w:hAnsi="Arial" w:cs="Arial"/>
                <w:b/>
                <w:sz w:val="24"/>
                <w:vertAlign w:val="subscript"/>
              </w:rPr>
              <w:t>total</w:t>
            </w:r>
            <w:r w:rsidR="00DC78B1" w:rsidRPr="00872327">
              <w:rPr>
                <w:rFonts w:ascii="Arial" w:hAnsi="Arial" w:cs="Arial"/>
                <w:b/>
                <w:sz w:val="24"/>
              </w:rPr>
              <w:t>“ and P</w:t>
            </w:r>
            <w:r w:rsidR="00DC78B1" w:rsidRPr="00872327">
              <w:rPr>
                <w:rFonts w:ascii="Arial" w:hAnsi="Arial" w:cs="Arial"/>
                <w:b/>
                <w:sz w:val="24"/>
                <w:vertAlign w:val="subscript"/>
              </w:rPr>
              <w:t>Bubblepoint</w:t>
            </w:r>
            <w:r w:rsidR="00DC78B1" w:rsidRPr="00872327">
              <w:rPr>
                <w:rFonts w:ascii="Arial" w:hAnsi="Arial" w:cs="Arial"/>
                <w:b/>
                <w:sz w:val="24"/>
              </w:rPr>
              <w:t>.</w:t>
            </w:r>
          </w:p>
        </w:tc>
      </w:tr>
    </w:tbl>
    <w:p w:rsidR="00DC78B1" w:rsidRDefault="00DC78B1" w:rsidP="00DC78B1">
      <w:pPr>
        <w:pStyle w:val="BU"/>
        <w:spacing w:before="0" w:line="288" w:lineRule="exact"/>
        <w:ind w:left="142" w:hanging="142"/>
        <w:rPr>
          <w:rFonts w:ascii="Arial" w:hAnsi="Arial" w:cs="Arial"/>
          <w:sz w:val="24"/>
        </w:rPr>
      </w:pPr>
    </w:p>
    <w:p w:rsidR="00DC78B1" w:rsidRPr="009D6AC7" w:rsidRDefault="00DC78B1" w:rsidP="00DC78B1">
      <w:pPr>
        <w:pStyle w:val="BU"/>
        <w:spacing w:before="0" w:line="288" w:lineRule="exact"/>
        <w:jc w:val="both"/>
        <w:rPr>
          <w:rFonts w:ascii="Arial" w:hAnsi="Arial" w:cs="Arial"/>
          <w:sz w:val="24"/>
        </w:rPr>
      </w:pPr>
      <w:r w:rsidRPr="009D6AC7">
        <w:rPr>
          <w:rFonts w:ascii="Arial" w:hAnsi="Arial" w:cs="Arial"/>
          <w:sz w:val="24"/>
        </w:rPr>
        <w:t xml:space="preserve">The implication that fugacity is the governing parameter also suggests that a thorough understanding of the application environment and material performance in that environment is </w:t>
      </w:r>
      <w:r w:rsidRPr="009D6AC7">
        <w:rPr>
          <w:rFonts w:ascii="Arial" w:hAnsi="Arial" w:cs="Arial"/>
          <w:sz w:val="24"/>
        </w:rPr>
        <w:lastRenderedPageBreak/>
        <w:t xml:space="preserve">important to the proper application of sour materials. The significance of this is that we obtained data and are sharing it with industry to show the magnitude of the variation and the case for action to address the non-conservative situations. </w:t>
      </w:r>
    </w:p>
    <w:p w:rsidR="00DC78B1" w:rsidRPr="009D6AC7" w:rsidRDefault="00DC78B1" w:rsidP="00DC78B1">
      <w:pPr>
        <w:pStyle w:val="BU"/>
        <w:spacing w:line="288" w:lineRule="exact"/>
        <w:jc w:val="both"/>
        <w:rPr>
          <w:rFonts w:ascii="Arial" w:hAnsi="Arial" w:cs="Arial"/>
          <w:sz w:val="24"/>
        </w:rPr>
      </w:pPr>
      <w:r w:rsidRPr="003C678E">
        <w:rPr>
          <w:rFonts w:ascii="Arial" w:hAnsi="Arial" w:cs="Arial"/>
          <w:sz w:val="24"/>
        </w:rPr>
        <w:t>Other cautions/limitations include:</w:t>
      </w:r>
      <w:r w:rsidRPr="009D6AC7">
        <w:rPr>
          <w:rFonts w:ascii="Arial" w:hAnsi="Arial" w:cs="Arial"/>
          <w:sz w:val="24"/>
        </w:rPr>
        <w:t xml:space="preserve">  </w:t>
      </w:r>
    </w:p>
    <w:p w:rsidR="00DC78B1" w:rsidRPr="00595826" w:rsidRDefault="00DC78B1" w:rsidP="00DC78B1">
      <w:pPr>
        <w:pStyle w:val="BU"/>
        <w:numPr>
          <w:ilvl w:val="0"/>
          <w:numId w:val="5"/>
        </w:numPr>
        <w:spacing w:before="0" w:line="288" w:lineRule="exact"/>
        <w:ind w:left="360"/>
        <w:jc w:val="both"/>
        <w:rPr>
          <w:rFonts w:ascii="Arial" w:hAnsi="Arial" w:cs="Arial"/>
          <w:sz w:val="24"/>
        </w:rPr>
      </w:pPr>
      <w:r w:rsidRPr="00595826">
        <w:rPr>
          <w:rFonts w:ascii="Arial" w:hAnsi="Arial" w:cs="Arial"/>
          <w:sz w:val="24"/>
        </w:rPr>
        <w:t>Degradation mechanisms other than SSC propagation and arrest have not been addressed.  SCC initiation tests, e.g., per TM0177 Methods A, B, or C, were not performed.   There have been reported three design limitations applicable to low alloy steels in sour service,</w:t>
      </w:r>
      <w:r w:rsidRPr="00595826">
        <w:rPr>
          <w:rFonts w:ascii="Arial" w:hAnsi="Arial" w:cs="Arial"/>
          <w:sz w:val="24"/>
          <w:vertAlign w:val="superscript"/>
        </w:rPr>
        <w:t>13</w:t>
      </w:r>
      <w:r w:rsidRPr="00595826">
        <w:rPr>
          <w:rFonts w:ascii="Arial" w:hAnsi="Arial" w:cs="Arial"/>
          <w:sz w:val="24"/>
        </w:rPr>
        <w:t xml:space="preserve"> yield, sour fracture toughness (sour propagation), and sour threshold stress (sour initiation).  Figure 10 shows an example of threshold stress based on NACE A tests.</w:t>
      </w:r>
      <w:r w:rsidRPr="00595826">
        <w:rPr>
          <w:rFonts w:ascii="Arial" w:hAnsi="Arial" w:cs="Arial"/>
          <w:sz w:val="24"/>
          <w:vertAlign w:val="superscript"/>
        </w:rPr>
        <w:t>14</w:t>
      </w:r>
      <w:r w:rsidRPr="00595826">
        <w:rPr>
          <w:rFonts w:ascii="Arial" w:hAnsi="Arial" w:cs="Arial"/>
          <w:sz w:val="24"/>
        </w:rPr>
        <w:t xml:space="preserve">  The work to date did not focus on sour threshold stress, and thus, does not validate that fugacity is the controlling parameter in cases where this failure mode could dominate. Indeed, when a linear elastic fracture mechanics (LEFM) analysis</w:t>
      </w:r>
      <w:r w:rsidRPr="00595826">
        <w:rPr>
          <w:rFonts w:ascii="Arial" w:hAnsi="Arial" w:cs="Arial"/>
          <w:sz w:val="24"/>
          <w:vertAlign w:val="superscript"/>
        </w:rPr>
        <w:t>15</w:t>
      </w:r>
      <w:r w:rsidRPr="00595826">
        <w:rPr>
          <w:rFonts w:ascii="Arial" w:hAnsi="Arial" w:cs="Arial"/>
          <w:sz w:val="24"/>
        </w:rPr>
        <w:t xml:space="preserve"> was performed on a hypothetical flaw in a pipe exposed to a sour environment and compared to crack initiation data, there was only partial overlap of data suggesting that these processes, brittle fracture and crack propagation, need to be considered separately (see Figure 11).</w:t>
      </w:r>
    </w:p>
    <w:p w:rsidR="00DC78B1" w:rsidRPr="001136B2" w:rsidRDefault="00DC78B1" w:rsidP="00DC78B1">
      <w:pPr>
        <w:pStyle w:val="BU"/>
        <w:spacing w:before="0" w:line="288" w:lineRule="exact"/>
        <w:ind w:left="425"/>
        <w:jc w:val="both"/>
        <w:rPr>
          <w:rFonts w:ascii="Arial" w:hAnsi="Arial" w:cs="Arial"/>
          <w:sz w:val="24"/>
          <w:highlight w:val="cyan"/>
        </w:rPr>
      </w:pPr>
    </w:p>
    <w:p w:rsidR="00DC78B1" w:rsidRDefault="00187536" w:rsidP="00DC78B1">
      <w:pPr>
        <w:ind w:left="360"/>
        <w:jc w:val="center"/>
      </w:pPr>
      <w:r>
        <w:rPr>
          <w:noProof/>
        </w:rPr>
        <w:drawing>
          <wp:inline distT="0" distB="0" distL="0" distR="0">
            <wp:extent cx="5758815" cy="33235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8815" cy="3323590"/>
                    </a:xfrm>
                    <a:prstGeom prst="rect">
                      <a:avLst/>
                    </a:prstGeom>
                    <a:noFill/>
                    <a:ln>
                      <a:noFill/>
                    </a:ln>
                  </pic:spPr>
                </pic:pic>
              </a:graphicData>
            </a:graphic>
          </wp:inline>
        </w:drawing>
      </w:r>
    </w:p>
    <w:p w:rsidR="00DC78B1" w:rsidRPr="00872327" w:rsidRDefault="00DC78B1" w:rsidP="005E4432">
      <w:pPr>
        <w:pStyle w:val="BU"/>
        <w:spacing w:line="288" w:lineRule="exact"/>
        <w:ind w:left="426" w:hanging="426"/>
        <w:jc w:val="center"/>
        <w:rPr>
          <w:rFonts w:ascii="Arial" w:hAnsi="Arial" w:cs="Arial"/>
          <w:b/>
          <w:sz w:val="24"/>
        </w:rPr>
      </w:pPr>
      <w:r w:rsidRPr="00872327">
        <w:rPr>
          <w:rFonts w:ascii="Arial" w:hAnsi="Arial" w:cs="Arial"/>
          <w:b/>
          <w:sz w:val="24"/>
        </w:rPr>
        <w:t>Figure 10:  Example of a sour threshold determined from crack initiation studies using smooth tensile NACE A specimens.</w:t>
      </w:r>
      <w:r w:rsidR="00B9288E" w:rsidRPr="00B9288E">
        <w:rPr>
          <w:rFonts w:ascii="Arial" w:hAnsi="Arial" w:cs="Arial"/>
          <w:b/>
          <w:sz w:val="24"/>
          <w:vertAlign w:val="superscript"/>
        </w:rPr>
        <w:t>14</w:t>
      </w:r>
    </w:p>
    <w:p w:rsidR="00DC78B1" w:rsidRDefault="00DC78B1" w:rsidP="00DC78B1">
      <w:pPr>
        <w:ind w:left="360"/>
      </w:pPr>
    </w:p>
    <w:p w:rsidR="00DC78B1" w:rsidRPr="0051207B" w:rsidRDefault="00187536" w:rsidP="00DC78B1">
      <w:pPr>
        <w:ind w:left="360"/>
        <w:jc w:val="center"/>
        <w:rPr>
          <w:rFonts w:ascii="Arial" w:hAnsi="Arial"/>
          <w:bCs/>
          <w:sz w:val="12"/>
        </w:rPr>
      </w:pPr>
      <w:r>
        <w:rPr>
          <w:noProof/>
        </w:rPr>
        <w:lastRenderedPageBreak/>
        <w:drawing>
          <wp:inline distT="0" distB="0" distL="0" distR="0">
            <wp:extent cx="4791710" cy="3165475"/>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91710" cy="3165475"/>
                    </a:xfrm>
                    <a:prstGeom prst="rect">
                      <a:avLst/>
                    </a:prstGeom>
                    <a:noFill/>
                    <a:ln>
                      <a:noFill/>
                    </a:ln>
                  </pic:spPr>
                </pic:pic>
              </a:graphicData>
            </a:graphic>
          </wp:inline>
        </w:drawing>
      </w:r>
      <w:r>
        <w:rPr>
          <w:rFonts w:ascii="Arial" w:hAnsi="Arial"/>
          <w:bCs/>
          <w:noProof/>
          <w:sz w:val="12"/>
        </w:rPr>
        <mc:AlternateContent>
          <mc:Choice Requires="wps">
            <w:drawing>
              <wp:anchor distT="0" distB="0" distL="114300" distR="114300" simplePos="0" relativeHeight="251662336" behindDoc="0" locked="0" layoutInCell="1" allowOverlap="1">
                <wp:simplePos x="0" y="0"/>
                <wp:positionH relativeFrom="column">
                  <wp:posOffset>261620</wp:posOffset>
                </wp:positionH>
                <wp:positionV relativeFrom="paragraph">
                  <wp:posOffset>3810</wp:posOffset>
                </wp:positionV>
                <wp:extent cx="5076825" cy="0"/>
                <wp:effectExtent l="13970" t="13335" r="5080" b="5715"/>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 o:spid="_x0000_s1026" type="#_x0000_t32" style="position:absolute;margin-left:20.6pt;margin-top:.3pt;width:399.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zI2HwIAAD0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"/>
            </w:pict>
          </mc:Fallback>
        </mc:AlternateContent>
      </w:r>
    </w:p>
    <w:p w:rsidR="00DC78B1" w:rsidRPr="00872327" w:rsidRDefault="00DC78B1" w:rsidP="005E4432">
      <w:pPr>
        <w:ind w:left="851" w:hanging="491"/>
        <w:jc w:val="center"/>
        <w:rPr>
          <w:rFonts w:ascii="Arial" w:hAnsi="Arial"/>
          <w:b/>
          <w:bCs/>
        </w:rPr>
      </w:pPr>
      <w:r w:rsidRPr="00872327">
        <w:rPr>
          <w:rFonts w:ascii="Arial" w:hAnsi="Arial"/>
          <w:b/>
          <w:bCs/>
        </w:rPr>
        <w:t>Figure 11:  Comparison of crack initiation curve from NACE A tests and predicted failure ratio (load to failure/actual yield strength) calculated using LEFM for a saturated solution.</w:t>
      </w:r>
      <w:r w:rsidRPr="00872327">
        <w:rPr>
          <w:rFonts w:ascii="Arial" w:hAnsi="Arial"/>
          <w:b/>
          <w:bCs/>
          <w:vertAlign w:val="superscript"/>
        </w:rPr>
        <w:t>15</w:t>
      </w:r>
    </w:p>
    <w:p w:rsidR="00DC78B1" w:rsidRDefault="00DC78B1" w:rsidP="00DC78B1">
      <w:pPr>
        <w:jc w:val="both"/>
        <w:rPr>
          <w:rFonts w:ascii="Arial" w:hAnsi="Arial" w:cs="Arial"/>
        </w:rPr>
      </w:pPr>
    </w:p>
    <w:p w:rsidR="00DC78B1" w:rsidRDefault="00DC78B1" w:rsidP="00DC78B1">
      <w:pPr>
        <w:pStyle w:val="BU"/>
        <w:numPr>
          <w:ilvl w:val="0"/>
          <w:numId w:val="5"/>
        </w:numPr>
        <w:spacing w:before="0" w:line="288" w:lineRule="exact"/>
        <w:ind w:left="360"/>
        <w:jc w:val="both"/>
        <w:rPr>
          <w:rFonts w:ascii="Arial" w:hAnsi="Arial" w:cs="Arial"/>
          <w:sz w:val="24"/>
        </w:rPr>
      </w:pPr>
      <w:r w:rsidRPr="009D6AC7">
        <w:rPr>
          <w:rFonts w:ascii="Arial" w:hAnsi="Arial" w:cs="Arial"/>
          <w:sz w:val="24"/>
        </w:rPr>
        <w:t>The application of these results to other, more corrosion resistant alloys where other corrosion mechanisms may dominate is not supported by these tests. Corrosion resistant materials more-often fail by environmental stress cracking</w:t>
      </w:r>
      <w:r w:rsidR="00595826">
        <w:rPr>
          <w:rFonts w:ascii="Arial" w:hAnsi="Arial" w:cs="Arial"/>
          <w:sz w:val="24"/>
        </w:rPr>
        <w:t>;</w:t>
      </w:r>
      <w:r w:rsidRPr="009D6AC7">
        <w:rPr>
          <w:rFonts w:ascii="Arial" w:hAnsi="Arial" w:cs="Arial"/>
          <w:sz w:val="24"/>
        </w:rPr>
        <w:t xml:space="preserve"> and no data </w:t>
      </w:r>
      <w:r w:rsidR="00595826">
        <w:rPr>
          <w:rFonts w:ascii="Arial" w:hAnsi="Arial" w:cs="Arial"/>
          <w:sz w:val="24"/>
        </w:rPr>
        <w:t>are</w:t>
      </w:r>
      <w:r w:rsidRPr="009D6AC7">
        <w:rPr>
          <w:rFonts w:ascii="Arial" w:hAnsi="Arial" w:cs="Arial"/>
          <w:sz w:val="24"/>
        </w:rPr>
        <w:t xml:space="preserve"> presented validating that fugacity governs in such a case.</w:t>
      </w:r>
    </w:p>
    <w:p w:rsidR="00DC78B1" w:rsidRDefault="00DC78B1" w:rsidP="00DC78B1">
      <w:pPr>
        <w:jc w:val="both"/>
        <w:rPr>
          <w:rFonts w:ascii="Arial" w:hAnsi="Arial" w:cs="Arial"/>
        </w:rPr>
      </w:pPr>
    </w:p>
    <w:p w:rsidR="00DC78B1" w:rsidRPr="002C47C4" w:rsidRDefault="00DC78B1" w:rsidP="0077280E">
      <w:pPr>
        <w:jc w:val="both"/>
        <w:rPr>
          <w:rFonts w:ascii="Arial" w:hAnsi="Arial" w:cs="Arial"/>
          <w:b/>
        </w:rPr>
      </w:pPr>
      <w:r w:rsidRPr="002C47C4">
        <w:rPr>
          <w:rFonts w:ascii="Arial" w:hAnsi="Arial" w:cs="Arial"/>
          <w:b/>
        </w:rPr>
        <w:t xml:space="preserve">Potential ISO/TC67 work on ISO 15156 </w:t>
      </w:r>
    </w:p>
    <w:p w:rsidR="0077280E" w:rsidRPr="0077280E" w:rsidRDefault="0077280E" w:rsidP="0077280E">
      <w:pPr>
        <w:jc w:val="both"/>
        <w:rPr>
          <w:rFonts w:ascii="Arial" w:hAnsi="Arial" w:cs="Arial"/>
        </w:rPr>
      </w:pPr>
    </w:p>
    <w:p w:rsidR="00DC78B1" w:rsidRPr="00E52607" w:rsidRDefault="00DC78B1" w:rsidP="00DC78B1">
      <w:pPr>
        <w:pStyle w:val="BU"/>
        <w:spacing w:before="0" w:line="288" w:lineRule="exact"/>
        <w:jc w:val="both"/>
        <w:rPr>
          <w:rFonts w:ascii="Arial" w:hAnsi="Arial" w:cs="Arial"/>
          <w:sz w:val="24"/>
        </w:rPr>
      </w:pPr>
      <w:r w:rsidRPr="008278C9">
        <w:rPr>
          <w:rFonts w:ascii="Arial" w:hAnsi="Arial" w:cs="Arial"/>
          <w:sz w:val="24"/>
        </w:rPr>
        <w:t>If, as identified by this work, fugacity is a controlling parameter for S</w:t>
      </w:r>
      <w:r>
        <w:rPr>
          <w:rFonts w:ascii="Arial" w:hAnsi="Arial" w:cs="Arial"/>
          <w:sz w:val="24"/>
        </w:rPr>
        <w:t>SC</w:t>
      </w:r>
      <w:r w:rsidRPr="006734EB">
        <w:rPr>
          <w:rFonts w:ascii="Arial" w:hAnsi="Arial" w:cs="Arial"/>
          <w:sz w:val="24"/>
        </w:rPr>
        <w:t>,</w:t>
      </w:r>
      <w:r w:rsidRPr="008278C9">
        <w:rPr>
          <w:rFonts w:ascii="Arial" w:hAnsi="Arial" w:cs="Arial"/>
          <w:sz w:val="24"/>
        </w:rPr>
        <w:t xml:space="preserve"> then the partial pressure calculations in ISO 15156, part 2, Annex C, should be revisited.  Specifically, the calculations in Section C2 should be re</w:t>
      </w:r>
      <w:r>
        <w:rPr>
          <w:rFonts w:ascii="Arial" w:hAnsi="Arial" w:cs="Arial"/>
          <w:sz w:val="24"/>
        </w:rPr>
        <w:t>-</w:t>
      </w:r>
      <w:r w:rsidRPr="008278C9">
        <w:rPr>
          <w:rFonts w:ascii="Arial" w:hAnsi="Arial" w:cs="Arial"/>
          <w:sz w:val="24"/>
        </w:rPr>
        <w:t xml:space="preserve">assessed, as they may in some circumstances provide results of a non-conservative nature, e.g., indicating sweet conditions when sour conditions may in fact prevail.  There are also corresponding concerns regarding identification of equivalent test exposures for the fit for purpose qualification of materials, where non-conservative test parameter selection could occur.  </w:t>
      </w:r>
    </w:p>
    <w:p w:rsidR="00DC78B1" w:rsidRDefault="00DC78B1" w:rsidP="00DC78B1">
      <w:pPr>
        <w:pStyle w:val="BU"/>
        <w:spacing w:before="0" w:line="288" w:lineRule="exact"/>
        <w:jc w:val="both"/>
        <w:rPr>
          <w:rFonts w:ascii="Arial" w:hAnsi="Arial" w:cs="Arial"/>
          <w:sz w:val="24"/>
        </w:rPr>
      </w:pPr>
      <w:r w:rsidRPr="008278C9">
        <w:rPr>
          <w:rFonts w:ascii="Arial" w:hAnsi="Arial" w:cs="Arial"/>
          <w:sz w:val="24"/>
        </w:rPr>
        <w:t>It is advised that joint industry work be initiated to address the limitations identified, and to further conclusively delineate if the governing parameter at high pressure is fugacity or solubility.</w:t>
      </w:r>
      <w:r>
        <w:rPr>
          <w:rFonts w:ascii="Arial" w:hAnsi="Arial" w:cs="Arial"/>
          <w:sz w:val="24"/>
        </w:rPr>
        <w:t xml:space="preserve"> A concern is that achieving a better physical model simulation may effectively eliminate a design factor benefit where previously a simulation of partial pressure effectively produced a more conservative test condition versus future use of e.g., fugacity.  This aspect needs discussion. Nevertheless, studies to further better assess the governing parameter are suggested and a number of laboratory approaches are possible.  To accentuate differences between fugacity and concentration sour material performance, or to identify mixed regime effects, the following test options are briefly noted:</w:t>
      </w:r>
    </w:p>
    <w:p w:rsidR="00DC78B1" w:rsidRDefault="00DC78B1" w:rsidP="00DC78B1">
      <w:pPr>
        <w:pStyle w:val="BU"/>
        <w:numPr>
          <w:ilvl w:val="0"/>
          <w:numId w:val="6"/>
        </w:numPr>
        <w:spacing w:before="0" w:line="288" w:lineRule="exact"/>
        <w:jc w:val="both"/>
        <w:rPr>
          <w:rFonts w:ascii="Arial" w:hAnsi="Arial" w:cs="Arial"/>
          <w:sz w:val="24"/>
        </w:rPr>
      </w:pPr>
      <w:r>
        <w:rPr>
          <w:rFonts w:ascii="Arial" w:hAnsi="Arial" w:cs="Arial"/>
          <w:sz w:val="24"/>
        </w:rPr>
        <w:t xml:space="preserve">Perform continuous purge tests, as herein, at higher pressure. A review of Figure I indicates that as total pressure continues to increase, the relative difference between fugacity and concentration will also increase. The tests conducted herein were at ~345 </w:t>
      </w:r>
      <w:r>
        <w:rPr>
          <w:rFonts w:ascii="Arial" w:hAnsi="Arial" w:cs="Arial"/>
          <w:sz w:val="24"/>
        </w:rPr>
        <w:lastRenderedPageBreak/>
        <w:t xml:space="preserve">bara, when the relative ratio of </w:t>
      </w:r>
      <w:r w:rsidRPr="00450519">
        <w:rPr>
          <w:i/>
          <w:sz w:val="28"/>
        </w:rPr>
        <w:t>f</w:t>
      </w:r>
      <w:r w:rsidRPr="00450519">
        <w:rPr>
          <w:i/>
          <w:sz w:val="24"/>
          <w:vertAlign w:val="subscript"/>
        </w:rPr>
        <w:t>H</w:t>
      </w:r>
      <w:r w:rsidRPr="00450519">
        <w:rPr>
          <w:i/>
          <w:sz w:val="18"/>
          <w:vertAlign w:val="subscript"/>
        </w:rPr>
        <w:t>2</w:t>
      </w:r>
      <w:r w:rsidRPr="00450519">
        <w:rPr>
          <w:i/>
          <w:sz w:val="24"/>
          <w:vertAlign w:val="subscript"/>
        </w:rPr>
        <w:t>S</w:t>
      </w:r>
      <w:r w:rsidRPr="00450519">
        <w:rPr>
          <w:i/>
          <w:sz w:val="24"/>
        </w:rPr>
        <w:t>/P</w:t>
      </w:r>
      <w:r>
        <w:rPr>
          <w:i/>
          <w:sz w:val="24"/>
          <w:vertAlign w:val="subscript"/>
        </w:rPr>
        <w:t>H</w:t>
      </w:r>
      <w:r w:rsidRPr="00450519">
        <w:rPr>
          <w:i/>
          <w:sz w:val="18"/>
          <w:vertAlign w:val="subscript"/>
        </w:rPr>
        <w:t>2</w:t>
      </w:r>
      <w:r>
        <w:rPr>
          <w:i/>
          <w:sz w:val="24"/>
          <w:vertAlign w:val="subscript"/>
        </w:rPr>
        <w:t>S</w:t>
      </w:r>
      <w:r w:rsidRPr="00450519">
        <w:rPr>
          <w:rFonts w:ascii="Arial" w:hAnsi="Arial" w:cs="Arial"/>
          <w:i/>
          <w:sz w:val="24"/>
        </w:rPr>
        <w:t>:</w:t>
      </w:r>
      <w:r>
        <w:rPr>
          <w:i/>
          <w:sz w:val="28"/>
        </w:rPr>
        <w:t>x</w:t>
      </w:r>
      <w:r>
        <w:rPr>
          <w:i/>
          <w:sz w:val="24"/>
          <w:vertAlign w:val="subscript"/>
        </w:rPr>
        <w:t>H</w:t>
      </w:r>
      <w:r>
        <w:rPr>
          <w:i/>
          <w:sz w:val="18"/>
          <w:vertAlign w:val="subscript"/>
        </w:rPr>
        <w:t>2</w:t>
      </w:r>
      <w:r>
        <w:rPr>
          <w:i/>
          <w:sz w:val="24"/>
          <w:vertAlign w:val="subscript"/>
        </w:rPr>
        <w:t>S</w:t>
      </w:r>
      <w:r w:rsidRPr="00450519">
        <w:rPr>
          <w:i/>
          <w:sz w:val="24"/>
        </w:rPr>
        <w:t>/P</w:t>
      </w:r>
      <w:r w:rsidRPr="00450519">
        <w:rPr>
          <w:i/>
          <w:sz w:val="24"/>
          <w:vertAlign w:val="subscript"/>
        </w:rPr>
        <w:t>H</w:t>
      </w:r>
      <w:r w:rsidRPr="00450519">
        <w:rPr>
          <w:i/>
          <w:sz w:val="18"/>
          <w:vertAlign w:val="subscript"/>
        </w:rPr>
        <w:t>2</w:t>
      </w:r>
      <w:r w:rsidRPr="00450519">
        <w:rPr>
          <w:i/>
          <w:sz w:val="24"/>
          <w:vertAlign w:val="subscript"/>
        </w:rPr>
        <w:t>S</w:t>
      </w:r>
      <w:r>
        <w:rPr>
          <w:rFonts w:ascii="Arial" w:hAnsi="Arial" w:cs="Arial"/>
          <w:sz w:val="24"/>
        </w:rPr>
        <w:t xml:space="preserve"> i</w:t>
      </w:r>
      <w:r w:rsidRPr="00450519">
        <w:rPr>
          <w:rFonts w:ascii="Arial" w:hAnsi="Arial" w:cs="Arial"/>
          <w:sz w:val="24"/>
        </w:rPr>
        <w:t>s</w:t>
      </w:r>
      <w:r>
        <w:rPr>
          <w:rFonts w:ascii="Arial" w:hAnsi="Arial" w:cs="Arial"/>
          <w:sz w:val="24"/>
        </w:rPr>
        <w:t xml:space="preserve"> 1.6 to 1.  At higher total pressures this ratio increases, e.g. the same ratio at 700 bara (10,150 psia) is 2.5 to 1 and at 1000 bara (14,500 psia) the ratio is 3.8 to 1. The 1000 bar test would produce relative differences between </w:t>
      </w:r>
      <w:r w:rsidRPr="00DD5D52">
        <w:rPr>
          <w:i/>
          <w:sz w:val="28"/>
        </w:rPr>
        <w:t>f</w:t>
      </w:r>
      <w:r w:rsidRPr="00DD5D52">
        <w:rPr>
          <w:i/>
          <w:sz w:val="24"/>
          <w:vertAlign w:val="subscript"/>
        </w:rPr>
        <w:t>H</w:t>
      </w:r>
      <w:r w:rsidRPr="00DD5D52">
        <w:rPr>
          <w:i/>
          <w:sz w:val="18"/>
          <w:vertAlign w:val="subscript"/>
        </w:rPr>
        <w:t>2</w:t>
      </w:r>
      <w:r w:rsidRPr="00DD5D52">
        <w:rPr>
          <w:i/>
          <w:sz w:val="24"/>
          <w:vertAlign w:val="subscript"/>
        </w:rPr>
        <w:t>S</w:t>
      </w:r>
      <w:r>
        <w:rPr>
          <w:rFonts w:ascii="Arial" w:hAnsi="Arial" w:cs="Arial"/>
          <w:sz w:val="24"/>
        </w:rPr>
        <w:t xml:space="preserve"> and </w:t>
      </w:r>
      <w:r w:rsidRPr="00DD5D52">
        <w:rPr>
          <w:i/>
          <w:sz w:val="28"/>
        </w:rPr>
        <w:t>x</w:t>
      </w:r>
      <w:r w:rsidRPr="00DD5D52">
        <w:rPr>
          <w:i/>
          <w:sz w:val="24"/>
          <w:vertAlign w:val="subscript"/>
        </w:rPr>
        <w:t>H</w:t>
      </w:r>
      <w:r w:rsidRPr="00DD5D52">
        <w:rPr>
          <w:i/>
          <w:sz w:val="18"/>
          <w:vertAlign w:val="subscript"/>
        </w:rPr>
        <w:t>2</w:t>
      </w:r>
      <w:r w:rsidRPr="00DD5D52">
        <w:rPr>
          <w:i/>
          <w:sz w:val="24"/>
          <w:vertAlign w:val="subscript"/>
        </w:rPr>
        <w:t>S</w:t>
      </w:r>
      <w:r>
        <w:rPr>
          <w:rFonts w:ascii="Arial" w:hAnsi="Arial" w:cs="Arial"/>
          <w:sz w:val="24"/>
        </w:rPr>
        <w:t xml:space="preserve"> that correspond to the relative differences very apparent between </w:t>
      </w:r>
      <w:r w:rsidRPr="00450519">
        <w:rPr>
          <w:i/>
          <w:sz w:val="24"/>
        </w:rPr>
        <w:t>P</w:t>
      </w:r>
      <w:r w:rsidRPr="00450519">
        <w:rPr>
          <w:i/>
          <w:sz w:val="24"/>
          <w:vertAlign w:val="subscript"/>
        </w:rPr>
        <w:t>H</w:t>
      </w:r>
      <w:r w:rsidRPr="00450519">
        <w:rPr>
          <w:i/>
          <w:sz w:val="18"/>
          <w:vertAlign w:val="subscript"/>
        </w:rPr>
        <w:t>2</w:t>
      </w:r>
      <w:r w:rsidRPr="00450519">
        <w:rPr>
          <w:i/>
          <w:sz w:val="24"/>
          <w:vertAlign w:val="subscript"/>
        </w:rPr>
        <w:t>S</w:t>
      </w:r>
      <w:r>
        <w:rPr>
          <w:rFonts w:ascii="Arial" w:hAnsi="Arial" w:cs="Arial"/>
          <w:sz w:val="24"/>
        </w:rPr>
        <w:t xml:space="preserve"> and </w:t>
      </w:r>
      <w:r w:rsidRPr="00450519">
        <w:rPr>
          <w:i/>
          <w:sz w:val="28"/>
        </w:rPr>
        <w:t>f</w:t>
      </w:r>
      <w:r w:rsidRPr="00450519">
        <w:rPr>
          <w:i/>
          <w:sz w:val="24"/>
          <w:vertAlign w:val="subscript"/>
        </w:rPr>
        <w:t>H</w:t>
      </w:r>
      <w:r w:rsidRPr="00450519">
        <w:rPr>
          <w:i/>
          <w:sz w:val="18"/>
          <w:vertAlign w:val="subscript"/>
        </w:rPr>
        <w:t>2</w:t>
      </w:r>
      <w:r w:rsidRPr="00450519">
        <w:rPr>
          <w:i/>
          <w:sz w:val="24"/>
          <w:vertAlign w:val="subscript"/>
        </w:rPr>
        <w:t>S</w:t>
      </w:r>
      <w:r>
        <w:rPr>
          <w:rFonts w:ascii="Arial" w:hAnsi="Arial" w:cs="Arial"/>
          <w:sz w:val="24"/>
        </w:rPr>
        <w:t xml:space="preserve"> (or </w:t>
      </w:r>
      <w:r w:rsidRPr="00450519">
        <w:rPr>
          <w:i/>
          <w:sz w:val="28"/>
        </w:rPr>
        <w:t>x</w:t>
      </w:r>
      <w:r w:rsidRPr="00450519">
        <w:rPr>
          <w:i/>
          <w:sz w:val="24"/>
          <w:vertAlign w:val="subscript"/>
        </w:rPr>
        <w:t>H</w:t>
      </w:r>
      <w:r w:rsidRPr="00450519">
        <w:rPr>
          <w:i/>
          <w:sz w:val="18"/>
          <w:vertAlign w:val="subscript"/>
        </w:rPr>
        <w:t>2</w:t>
      </w:r>
      <w:r w:rsidRPr="00450519">
        <w:rPr>
          <w:i/>
          <w:sz w:val="24"/>
          <w:vertAlign w:val="subscript"/>
        </w:rPr>
        <w:t>S</w:t>
      </w:r>
      <w:r>
        <w:rPr>
          <w:rFonts w:ascii="Arial" w:hAnsi="Arial" w:cs="Arial"/>
          <w:sz w:val="24"/>
        </w:rPr>
        <w:t xml:space="preserve">) observed in these tests.  Further tests as noted in this study, at higher </w:t>
      </w:r>
      <w:r w:rsidRPr="008A0E23">
        <w:rPr>
          <w:i/>
          <w:sz w:val="24"/>
        </w:rPr>
        <w:t>P</w:t>
      </w:r>
      <w:r w:rsidRPr="008A0E23">
        <w:rPr>
          <w:i/>
          <w:sz w:val="24"/>
          <w:vertAlign w:val="subscript"/>
        </w:rPr>
        <w:t>H</w:t>
      </w:r>
      <w:r w:rsidRPr="008A0E23">
        <w:rPr>
          <w:i/>
          <w:sz w:val="18"/>
          <w:vertAlign w:val="subscript"/>
        </w:rPr>
        <w:t>2</w:t>
      </w:r>
      <w:r w:rsidRPr="008A0E23">
        <w:rPr>
          <w:i/>
          <w:sz w:val="24"/>
          <w:vertAlign w:val="subscript"/>
        </w:rPr>
        <w:t>S</w:t>
      </w:r>
      <w:r>
        <w:rPr>
          <w:rFonts w:ascii="Arial" w:hAnsi="Arial" w:cs="Arial"/>
          <w:sz w:val="24"/>
        </w:rPr>
        <w:t xml:space="preserve">, would also be of statistical benefit. </w:t>
      </w:r>
    </w:p>
    <w:p w:rsidR="00DC78B1" w:rsidRDefault="00DC78B1" w:rsidP="00DC78B1">
      <w:pPr>
        <w:pStyle w:val="BU"/>
        <w:numPr>
          <w:ilvl w:val="0"/>
          <w:numId w:val="6"/>
        </w:numPr>
        <w:spacing w:before="0" w:after="120" w:line="288" w:lineRule="exact"/>
        <w:ind w:left="777" w:hanging="357"/>
        <w:jc w:val="both"/>
        <w:rPr>
          <w:rFonts w:ascii="Arial" w:hAnsi="Arial" w:cs="Arial"/>
          <w:sz w:val="24"/>
        </w:rPr>
      </w:pPr>
      <w:r>
        <w:rPr>
          <w:rFonts w:ascii="Arial" w:hAnsi="Arial" w:cs="Arial"/>
          <w:sz w:val="24"/>
        </w:rPr>
        <w:t>The same concentration of dissolved gas in a solution will exhibit a fugacity that increases as total pressure increases. For example, given a starter solution containing H</w:t>
      </w:r>
      <w:r w:rsidRPr="00450519">
        <w:rPr>
          <w:rFonts w:ascii="Arial" w:hAnsi="Arial" w:cs="Arial"/>
          <w:sz w:val="24"/>
          <w:vertAlign w:val="subscript"/>
        </w:rPr>
        <w:t>2</w:t>
      </w:r>
      <w:r>
        <w:rPr>
          <w:rFonts w:ascii="Arial" w:hAnsi="Arial" w:cs="Arial"/>
          <w:sz w:val="24"/>
        </w:rPr>
        <w:t>S at a given pH at low pressure, tests may be performed in which specimens are exposed to the same solution at a range of  hydrostatic pressures. The total pressure increase will impact the fugacity, while having no impact on the concentration. The total pressure change required to change the fugacity significantly is high (the fugacity of a 25°C,</w:t>
      </w:r>
      <w:r w:rsidRPr="000032F6">
        <w:rPr>
          <w:rFonts w:ascii="Arial" w:hAnsi="Arial" w:cs="Arial"/>
          <w:sz w:val="24"/>
        </w:rPr>
        <w:t xml:space="preserve"> </w:t>
      </w:r>
      <w:r>
        <w:rPr>
          <w:rFonts w:ascii="Arial" w:hAnsi="Arial" w:cs="Arial"/>
          <w:sz w:val="24"/>
        </w:rPr>
        <w:t>100 ppm H</w:t>
      </w:r>
      <w:r w:rsidRPr="00450519">
        <w:rPr>
          <w:rFonts w:ascii="Arial" w:hAnsi="Arial" w:cs="Arial"/>
          <w:sz w:val="24"/>
          <w:vertAlign w:val="subscript"/>
        </w:rPr>
        <w:t>2</w:t>
      </w:r>
      <w:r>
        <w:rPr>
          <w:rFonts w:ascii="Arial" w:hAnsi="Arial" w:cs="Arial"/>
          <w:sz w:val="24"/>
        </w:rPr>
        <w:t>S solution at 1000 bar total pressure versus at 2 bar total pressure is a factor of about 3.85).  Operational issues are also present.  Avoiding hydrostatic control valve pressure surges suggest that the high pressure injection should be through a control or backpressure valve into an autoclave at nearly the same high pressure (See Figure 12).  To maintain constant pH it is suggested that the buffering compounds chosen to regulate pH not be similarly impacted by the total pressure change (e.g., not CO</w:t>
      </w:r>
      <w:r w:rsidRPr="00450519">
        <w:rPr>
          <w:rFonts w:ascii="Arial" w:hAnsi="Arial" w:cs="Arial"/>
          <w:sz w:val="24"/>
          <w:vertAlign w:val="subscript"/>
        </w:rPr>
        <w:t>2</w:t>
      </w:r>
      <w:r>
        <w:rPr>
          <w:rFonts w:ascii="Arial" w:hAnsi="Arial" w:cs="Arial"/>
          <w:sz w:val="24"/>
        </w:rPr>
        <w:t xml:space="preserve">). </w:t>
      </w:r>
    </w:p>
    <w:tbl>
      <w:tblPr>
        <w:tblW w:w="0" w:type="auto"/>
        <w:tblInd w:w="420" w:type="dxa"/>
        <w:tblBorders>
          <w:insideH w:val="single" w:sz="4" w:space="0" w:color="auto"/>
          <w:insideV w:val="single" w:sz="4" w:space="0" w:color="auto"/>
        </w:tblBorders>
        <w:tblLook w:val="04A0" w:firstRow="1" w:lastRow="0" w:firstColumn="1" w:lastColumn="0" w:noHBand="0" w:noVBand="1"/>
      </w:tblPr>
      <w:tblGrid>
        <w:gridCol w:w="9286"/>
      </w:tblGrid>
      <w:tr w:rsidR="00DC78B1" w:rsidTr="0037435A">
        <w:tc>
          <w:tcPr>
            <w:tcW w:w="9286" w:type="dxa"/>
          </w:tcPr>
          <w:p w:rsidR="00DC78B1" w:rsidRPr="00872327" w:rsidRDefault="00187536" w:rsidP="005E4432">
            <w:pPr>
              <w:pStyle w:val="BU"/>
              <w:spacing w:before="0" w:after="120" w:line="288" w:lineRule="exact"/>
              <w:ind w:left="709"/>
              <w:jc w:val="center"/>
              <w:rPr>
                <w:rFonts w:ascii="Arial" w:hAnsi="Arial" w:cs="Arial"/>
                <w:b/>
                <w:sz w:val="24"/>
                <w:szCs w:val="24"/>
              </w:rPr>
            </w:pPr>
            <w:r>
              <w:rPr>
                <w:rFonts w:ascii="Arial" w:hAnsi="Arial" w:cs="Arial"/>
                <w:b/>
                <w:noProof/>
                <w:sz w:val="24"/>
                <w:szCs w:val="24"/>
                <w:lang w:eastAsia="en-US"/>
              </w:rPr>
              <w:drawing>
                <wp:anchor distT="0" distB="0" distL="114300" distR="114300" simplePos="0" relativeHeight="251658240" behindDoc="0" locked="0" layoutInCell="1" allowOverlap="1">
                  <wp:simplePos x="0" y="0"/>
                  <wp:positionH relativeFrom="column">
                    <wp:posOffset>604520</wp:posOffset>
                  </wp:positionH>
                  <wp:positionV relativeFrom="paragraph">
                    <wp:posOffset>-4445</wp:posOffset>
                  </wp:positionV>
                  <wp:extent cx="4286250" cy="3171825"/>
                  <wp:effectExtent l="0" t="0" r="0" b="9525"/>
                  <wp:wrapTopAndBottom/>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l="32475" t="27167" r="14256" b="16592"/>
                          <a:stretch>
                            <a:fillRect/>
                          </a:stretch>
                        </pic:blipFill>
                        <pic:spPr bwMode="auto">
                          <a:xfrm>
                            <a:off x="0" y="0"/>
                            <a:ext cx="4286250" cy="3171825"/>
                          </a:xfrm>
                          <a:prstGeom prst="rect">
                            <a:avLst/>
                          </a:prstGeom>
                          <a:noFill/>
                        </pic:spPr>
                      </pic:pic>
                    </a:graphicData>
                  </a:graphic>
                  <wp14:sizeRelH relativeFrom="page">
                    <wp14:pctWidth>0</wp14:pctWidth>
                  </wp14:sizeRelH>
                  <wp14:sizeRelV relativeFrom="page">
                    <wp14:pctHeight>0</wp14:pctHeight>
                  </wp14:sizeRelV>
                </wp:anchor>
              </w:drawing>
            </w:r>
            <w:r w:rsidR="00DC78B1" w:rsidRPr="00872327">
              <w:rPr>
                <w:rFonts w:ascii="Arial" w:hAnsi="Arial" w:cs="Arial"/>
                <w:b/>
                <w:sz w:val="24"/>
                <w:szCs w:val="24"/>
              </w:rPr>
              <w:t>Figure 12: Example of a liquid based test setup.</w:t>
            </w:r>
          </w:p>
        </w:tc>
      </w:tr>
    </w:tbl>
    <w:p w:rsidR="00DC78B1" w:rsidRDefault="00DC78B1" w:rsidP="00DC78B1">
      <w:pPr>
        <w:pStyle w:val="BU"/>
        <w:numPr>
          <w:ilvl w:val="0"/>
          <w:numId w:val="6"/>
        </w:numPr>
        <w:spacing w:before="0" w:after="120" w:line="288" w:lineRule="exact"/>
        <w:ind w:left="777" w:hanging="357"/>
        <w:jc w:val="both"/>
        <w:rPr>
          <w:rFonts w:ascii="Arial" w:hAnsi="Arial" w:cs="Arial"/>
          <w:sz w:val="24"/>
        </w:rPr>
      </w:pPr>
      <w:r>
        <w:rPr>
          <w:rFonts w:ascii="Arial" w:hAnsi="Arial" w:cs="Arial"/>
          <w:sz w:val="24"/>
        </w:rPr>
        <w:t>The same concentration of solution will be seen as two different concentrations at two different mass transfer velocities, while the same velocity will have minimal impact on the solution fugacity.   This observation is based upon the fact that if the governing parameter is concentration, then it is not the concentration of H</w:t>
      </w:r>
      <w:r w:rsidRPr="00450519">
        <w:rPr>
          <w:rFonts w:ascii="Arial" w:hAnsi="Arial" w:cs="Arial"/>
          <w:sz w:val="24"/>
          <w:vertAlign w:val="subscript"/>
        </w:rPr>
        <w:t>2</w:t>
      </w:r>
      <w:r>
        <w:rPr>
          <w:rFonts w:ascii="Arial" w:hAnsi="Arial" w:cs="Arial"/>
          <w:sz w:val="24"/>
        </w:rPr>
        <w:t>S in the bulk solution which will govern the rate of reaction and H</w:t>
      </w:r>
      <w:r>
        <w:rPr>
          <w:rFonts w:ascii="Arial" w:hAnsi="Arial" w:cs="Arial"/>
          <w:sz w:val="24"/>
          <w:vertAlign w:val="superscript"/>
        </w:rPr>
        <w:t>+</w:t>
      </w:r>
      <w:r>
        <w:rPr>
          <w:rFonts w:ascii="Arial" w:hAnsi="Arial" w:cs="Arial"/>
          <w:sz w:val="24"/>
        </w:rPr>
        <w:t xml:space="preserve"> production, but the reduced concentration of H</w:t>
      </w:r>
      <w:r w:rsidRPr="00450519">
        <w:rPr>
          <w:rFonts w:ascii="Arial" w:hAnsi="Arial" w:cs="Arial"/>
          <w:sz w:val="24"/>
          <w:vertAlign w:val="subscript"/>
        </w:rPr>
        <w:t>2</w:t>
      </w:r>
      <w:r>
        <w:rPr>
          <w:rFonts w:ascii="Arial" w:hAnsi="Arial" w:cs="Arial"/>
          <w:sz w:val="24"/>
        </w:rPr>
        <w:t>S in the laminar boundary layer adjacent to the metal surface, analogous to current models that predict the rate of CO</w:t>
      </w:r>
      <w:r w:rsidRPr="00450519">
        <w:rPr>
          <w:rFonts w:ascii="Arial" w:hAnsi="Arial" w:cs="Arial"/>
          <w:sz w:val="24"/>
          <w:vertAlign w:val="subscript"/>
        </w:rPr>
        <w:t>2</w:t>
      </w:r>
      <w:r>
        <w:rPr>
          <w:rFonts w:ascii="Arial" w:hAnsi="Arial" w:cs="Arial"/>
          <w:sz w:val="24"/>
        </w:rPr>
        <w:t xml:space="preserve"> corrosion.</w:t>
      </w:r>
      <w:r w:rsidRPr="00352819">
        <w:rPr>
          <w:rFonts w:ascii="Arial" w:hAnsi="Arial" w:cs="Arial"/>
          <w:sz w:val="24"/>
          <w:vertAlign w:val="superscript"/>
        </w:rPr>
        <w:t>16,17</w:t>
      </w:r>
      <w:r>
        <w:rPr>
          <w:rFonts w:ascii="Arial" w:hAnsi="Arial" w:cs="Arial"/>
          <w:sz w:val="24"/>
        </w:rPr>
        <w:t xml:space="preserve"> </w:t>
      </w:r>
    </w:p>
    <w:tbl>
      <w:tblPr>
        <w:tblW w:w="0" w:type="auto"/>
        <w:tblInd w:w="420" w:type="dxa"/>
        <w:tblBorders>
          <w:insideH w:val="single" w:sz="4" w:space="0" w:color="auto"/>
          <w:insideV w:val="single" w:sz="4" w:space="0" w:color="auto"/>
        </w:tblBorders>
        <w:tblLook w:val="04A0" w:firstRow="1" w:lastRow="0" w:firstColumn="1" w:lastColumn="0" w:noHBand="0" w:noVBand="1"/>
      </w:tblPr>
      <w:tblGrid>
        <w:gridCol w:w="9286"/>
      </w:tblGrid>
      <w:tr w:rsidR="00DC78B1" w:rsidTr="0037435A">
        <w:tc>
          <w:tcPr>
            <w:tcW w:w="9286" w:type="dxa"/>
          </w:tcPr>
          <w:p w:rsidR="00DC78B1" w:rsidRPr="0077280E" w:rsidRDefault="00187536" w:rsidP="0077280E">
            <w:pPr>
              <w:pStyle w:val="BU"/>
              <w:spacing w:before="0" w:after="120" w:line="288" w:lineRule="exact"/>
              <w:ind w:left="431" w:hanging="431"/>
              <w:jc w:val="center"/>
              <w:rPr>
                <w:rFonts w:ascii="Arial" w:hAnsi="Arial" w:cs="Arial"/>
                <w:b/>
                <w:sz w:val="24"/>
              </w:rPr>
            </w:pPr>
            <w:r>
              <w:rPr>
                <w:rFonts w:ascii="Arial" w:hAnsi="Arial" w:cs="Arial"/>
                <w:b/>
                <w:noProof/>
                <w:lang w:eastAsia="en-US"/>
              </w:rPr>
              <w:lastRenderedPageBreak/>
              <w:drawing>
                <wp:anchor distT="0" distB="0" distL="114300" distR="114300" simplePos="0" relativeHeight="251659264" behindDoc="0" locked="0" layoutInCell="1" allowOverlap="1">
                  <wp:simplePos x="0" y="0"/>
                  <wp:positionH relativeFrom="column">
                    <wp:posOffset>1318895</wp:posOffset>
                  </wp:positionH>
                  <wp:positionV relativeFrom="paragraph">
                    <wp:posOffset>33655</wp:posOffset>
                  </wp:positionV>
                  <wp:extent cx="2771775" cy="923925"/>
                  <wp:effectExtent l="0" t="0" r="9525" b="9525"/>
                  <wp:wrapTopAndBottom/>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l="37251" t="38518" r="29967" b="45454"/>
                          <a:stretch>
                            <a:fillRect/>
                          </a:stretch>
                        </pic:blipFill>
                        <pic:spPr bwMode="auto">
                          <a:xfrm>
                            <a:off x="0" y="0"/>
                            <a:ext cx="2771775" cy="923925"/>
                          </a:xfrm>
                          <a:prstGeom prst="rect">
                            <a:avLst/>
                          </a:prstGeom>
                          <a:noFill/>
                        </pic:spPr>
                      </pic:pic>
                    </a:graphicData>
                  </a:graphic>
                  <wp14:sizeRelH relativeFrom="page">
                    <wp14:pctWidth>0</wp14:pctWidth>
                  </wp14:sizeRelH>
                  <wp14:sizeRelV relativeFrom="page">
                    <wp14:pctHeight>0</wp14:pctHeight>
                  </wp14:sizeRelV>
                </wp:anchor>
              </w:drawing>
            </w:r>
            <w:r w:rsidR="00DC78B1" w:rsidRPr="0077280E">
              <w:rPr>
                <w:rFonts w:ascii="Arial" w:hAnsi="Arial" w:cs="Arial"/>
                <w:b/>
                <w:sz w:val="24"/>
              </w:rPr>
              <w:t xml:space="preserve">Figure 13: Mixed potential theory where </w:t>
            </w:r>
            <w:r w:rsidR="00DC78B1" w:rsidRPr="0077280E">
              <w:rPr>
                <w:b/>
                <w:i/>
                <w:sz w:val="24"/>
              </w:rPr>
              <w:t>j</w:t>
            </w:r>
            <w:r w:rsidR="00DC78B1" w:rsidRPr="0077280E">
              <w:rPr>
                <w:b/>
                <w:i/>
                <w:sz w:val="24"/>
                <w:vertAlign w:val="subscript"/>
              </w:rPr>
              <w:t>lim,i</w:t>
            </w:r>
            <w:r w:rsidR="00DC78B1" w:rsidRPr="0077280E">
              <w:rPr>
                <w:rFonts w:ascii="Arial" w:hAnsi="Arial" w:cs="Arial"/>
                <w:b/>
                <w:sz w:val="24"/>
              </w:rPr>
              <w:t xml:space="preserve"> is the limiting corrosion current/rate from species transport and reactions in boundary layers.  See ref 18 for details.</w:t>
            </w:r>
          </w:p>
        </w:tc>
      </w:tr>
    </w:tbl>
    <w:p w:rsidR="00DC78B1" w:rsidRDefault="00DC78B1" w:rsidP="00DC78B1">
      <w:pPr>
        <w:pStyle w:val="BU"/>
        <w:spacing w:before="0" w:line="288" w:lineRule="exact"/>
        <w:ind w:left="60"/>
        <w:jc w:val="both"/>
        <w:rPr>
          <w:rFonts w:ascii="Arial" w:hAnsi="Arial" w:cs="Arial"/>
          <w:sz w:val="24"/>
        </w:rPr>
      </w:pPr>
      <w:r>
        <w:rPr>
          <w:rFonts w:ascii="Arial" w:hAnsi="Arial" w:cs="Arial"/>
          <w:sz w:val="24"/>
        </w:rPr>
        <w:t>Certainly other approaches to differentiate between governance by fugacity or concentration of both will exist.  However, it is suggested that the over 30 years of experience used to assess the controlling parameters for CO</w:t>
      </w:r>
      <w:r w:rsidRPr="004A0D9E">
        <w:rPr>
          <w:rFonts w:ascii="Arial" w:hAnsi="Arial" w:cs="Arial"/>
          <w:sz w:val="24"/>
          <w:vertAlign w:val="subscript"/>
        </w:rPr>
        <w:t>2</w:t>
      </w:r>
      <w:r>
        <w:rPr>
          <w:rFonts w:ascii="Arial" w:hAnsi="Arial" w:cs="Arial"/>
          <w:sz w:val="24"/>
        </w:rPr>
        <w:t xml:space="preserve"> corrosion be considered (in 1975 reports</w:t>
      </w:r>
      <w:r w:rsidRPr="00352819">
        <w:rPr>
          <w:rFonts w:ascii="Arial" w:hAnsi="Arial" w:cs="Arial"/>
          <w:sz w:val="24"/>
          <w:vertAlign w:val="superscript"/>
        </w:rPr>
        <w:t>19</w:t>
      </w:r>
      <w:r>
        <w:rPr>
          <w:rFonts w:ascii="Arial" w:hAnsi="Arial" w:cs="Arial"/>
          <w:sz w:val="24"/>
        </w:rPr>
        <w:t xml:space="preserve"> suggested that only pCO</w:t>
      </w:r>
      <w:r w:rsidRPr="00450519">
        <w:rPr>
          <w:rFonts w:ascii="Arial" w:hAnsi="Arial" w:cs="Arial"/>
          <w:sz w:val="24"/>
          <w:vertAlign w:val="subscript"/>
        </w:rPr>
        <w:t>2</w:t>
      </w:r>
      <w:r>
        <w:rPr>
          <w:rFonts w:ascii="Arial" w:hAnsi="Arial" w:cs="Arial"/>
          <w:sz w:val="24"/>
        </w:rPr>
        <w:t xml:space="preserve"> and temperature need be considered) and that options that will limit other influencing variables be addressed in any industry test program.</w:t>
      </w:r>
    </w:p>
    <w:p w:rsidR="001D4B82" w:rsidRPr="00F87B7B" w:rsidRDefault="001D4B82" w:rsidP="001D4B82"/>
    <w:p w:rsidR="001D4B82" w:rsidRDefault="001D4B82" w:rsidP="001D4B82">
      <w:pPr>
        <w:jc w:val="both"/>
        <w:rPr>
          <w:rFonts w:ascii="Arial" w:hAnsi="Arial" w:cs="Arial"/>
          <w:b/>
          <w:sz w:val="22"/>
          <w:szCs w:val="22"/>
        </w:rPr>
      </w:pPr>
    </w:p>
    <w:p w:rsidR="001D4B82" w:rsidRDefault="001D4B82" w:rsidP="001D4B82">
      <w:pPr>
        <w:pStyle w:val="Heading3"/>
        <w:spacing w:before="0" w:after="0"/>
        <w:jc w:val="center"/>
        <w:rPr>
          <w:sz w:val="22"/>
          <w:szCs w:val="22"/>
        </w:rPr>
      </w:pPr>
      <w:r>
        <w:rPr>
          <w:sz w:val="22"/>
          <w:szCs w:val="22"/>
        </w:rPr>
        <w:t>CONCLUSIONS</w:t>
      </w:r>
    </w:p>
    <w:p w:rsidR="001D4B82" w:rsidRDefault="001D4B82" w:rsidP="001D4B82">
      <w:pPr>
        <w:jc w:val="both"/>
      </w:pPr>
    </w:p>
    <w:p w:rsidR="004F0BA5" w:rsidRDefault="004F0BA5" w:rsidP="004F0BA5">
      <w:pPr>
        <w:pStyle w:val="BU"/>
        <w:numPr>
          <w:ilvl w:val="0"/>
          <w:numId w:val="2"/>
        </w:numPr>
        <w:spacing w:before="0" w:line="288" w:lineRule="exact"/>
        <w:jc w:val="both"/>
        <w:rPr>
          <w:rFonts w:ascii="Arial" w:hAnsi="Arial" w:cs="Arial"/>
          <w:sz w:val="24"/>
        </w:rPr>
      </w:pPr>
      <w:r>
        <w:rPr>
          <w:rFonts w:ascii="Arial" w:hAnsi="Arial" w:cs="Arial"/>
          <w:sz w:val="24"/>
        </w:rPr>
        <w:t>Fugacity is a more appropriate parameter than partial pressure of H</w:t>
      </w:r>
      <w:r w:rsidRPr="00743690">
        <w:rPr>
          <w:rFonts w:ascii="Arial" w:hAnsi="Arial" w:cs="Arial"/>
          <w:sz w:val="24"/>
          <w:vertAlign w:val="subscript"/>
        </w:rPr>
        <w:t>2</w:t>
      </w:r>
      <w:r>
        <w:rPr>
          <w:rFonts w:ascii="Arial" w:hAnsi="Arial" w:cs="Arial"/>
          <w:sz w:val="24"/>
        </w:rPr>
        <w:t xml:space="preserve">S in controlling SSC crack propagation.  </w:t>
      </w:r>
    </w:p>
    <w:p w:rsidR="004F0BA5" w:rsidRDefault="004F0BA5" w:rsidP="004F0BA5">
      <w:pPr>
        <w:pStyle w:val="BU"/>
        <w:numPr>
          <w:ilvl w:val="0"/>
          <w:numId w:val="2"/>
        </w:numPr>
        <w:spacing w:before="0" w:line="288" w:lineRule="exact"/>
        <w:jc w:val="both"/>
        <w:rPr>
          <w:rFonts w:ascii="Arial" w:hAnsi="Arial" w:cs="Arial"/>
          <w:sz w:val="24"/>
        </w:rPr>
      </w:pPr>
      <w:r>
        <w:rPr>
          <w:rFonts w:ascii="Arial" w:hAnsi="Arial" w:cs="Arial"/>
          <w:sz w:val="24"/>
        </w:rPr>
        <w:t>The use of the H</w:t>
      </w:r>
      <w:r w:rsidRPr="00743690">
        <w:rPr>
          <w:rFonts w:ascii="Arial" w:hAnsi="Arial" w:cs="Arial"/>
          <w:sz w:val="24"/>
          <w:vertAlign w:val="subscript"/>
        </w:rPr>
        <w:t>2</w:t>
      </w:r>
      <w:r>
        <w:rPr>
          <w:rFonts w:ascii="Arial" w:hAnsi="Arial" w:cs="Arial"/>
          <w:sz w:val="24"/>
        </w:rPr>
        <w:t>S partial pressure at the bubble point may not be  conservative when assessing the risk of SSC at pressures above the bubblepoint.</w:t>
      </w:r>
    </w:p>
    <w:p w:rsidR="001D4B82" w:rsidRDefault="004F0BA5" w:rsidP="004F0BA5">
      <w:pPr>
        <w:numPr>
          <w:ilvl w:val="0"/>
          <w:numId w:val="2"/>
        </w:numPr>
        <w:jc w:val="both"/>
        <w:rPr>
          <w:rFonts w:ascii="Arial" w:hAnsi="Arial" w:cs="Arial"/>
          <w:sz w:val="22"/>
          <w:szCs w:val="22"/>
        </w:rPr>
      </w:pPr>
      <w:r>
        <w:rPr>
          <w:rFonts w:ascii="Arial" w:hAnsi="Arial" w:cs="Arial"/>
        </w:rPr>
        <w:t>In the absence of data, the fugacity of the H</w:t>
      </w:r>
      <w:r w:rsidRPr="00743690">
        <w:rPr>
          <w:rFonts w:ascii="Arial" w:hAnsi="Arial" w:cs="Arial"/>
          <w:vertAlign w:val="subscript"/>
        </w:rPr>
        <w:t>2</w:t>
      </w:r>
      <w:r>
        <w:rPr>
          <w:rFonts w:ascii="Arial" w:hAnsi="Arial" w:cs="Arial"/>
        </w:rPr>
        <w:t>S in the reservoir fluid can sometimes be estimated from the reservoir bottom hole temperature.</w:t>
      </w:r>
    </w:p>
    <w:p w:rsidR="001D4B82" w:rsidRDefault="001D4B82" w:rsidP="001D4B82">
      <w:pPr>
        <w:jc w:val="both"/>
        <w:rPr>
          <w:rFonts w:ascii="Arial" w:hAnsi="Arial" w:cs="Arial"/>
          <w:sz w:val="22"/>
          <w:szCs w:val="22"/>
        </w:rPr>
      </w:pPr>
    </w:p>
    <w:p w:rsidR="001D4B82" w:rsidRDefault="001D4B82" w:rsidP="001D4B82">
      <w:pPr>
        <w:jc w:val="both"/>
        <w:rPr>
          <w:rFonts w:ascii="Arial" w:hAnsi="Arial" w:cs="Arial"/>
          <w:b/>
          <w:sz w:val="22"/>
          <w:szCs w:val="22"/>
        </w:rPr>
      </w:pPr>
    </w:p>
    <w:p w:rsidR="001D4B82" w:rsidRDefault="001D4B82" w:rsidP="001D4B82">
      <w:pPr>
        <w:jc w:val="both"/>
      </w:pPr>
    </w:p>
    <w:p w:rsidR="001D4B82" w:rsidRDefault="001D4B82" w:rsidP="001D4B82">
      <w:pPr>
        <w:pStyle w:val="Heading3"/>
        <w:spacing w:before="0" w:after="0"/>
        <w:jc w:val="center"/>
        <w:rPr>
          <w:sz w:val="22"/>
          <w:szCs w:val="22"/>
        </w:rPr>
      </w:pPr>
      <w:r>
        <w:rPr>
          <w:sz w:val="22"/>
          <w:szCs w:val="22"/>
        </w:rPr>
        <w:t>ACKNOWLEDGEMENTS</w:t>
      </w:r>
    </w:p>
    <w:p w:rsidR="001D4B82" w:rsidRDefault="001D4B82" w:rsidP="001D4B82">
      <w:pPr>
        <w:jc w:val="both"/>
      </w:pPr>
    </w:p>
    <w:p w:rsidR="001D4B82" w:rsidRPr="005621C1" w:rsidRDefault="005D7E2C" w:rsidP="001D4B82">
      <w:pPr>
        <w:jc w:val="both"/>
        <w:rPr>
          <w:rFonts w:ascii="Arial" w:hAnsi="Arial" w:cs="Arial"/>
          <w:sz w:val="22"/>
          <w:szCs w:val="22"/>
        </w:rPr>
      </w:pPr>
      <w:r>
        <w:rPr>
          <w:rFonts w:ascii="Arial" w:hAnsi="Arial" w:cs="Arial"/>
          <w:sz w:val="22"/>
          <w:szCs w:val="22"/>
        </w:rPr>
        <w:t xml:space="preserve">The authors gratefully acknowledge the Shell Oil Company for permission to present this work. Special gratitude is also extended to Scott Lester of Shell </w:t>
      </w:r>
      <w:r w:rsidR="00B9288E">
        <w:rPr>
          <w:rFonts w:ascii="Arial" w:hAnsi="Arial" w:cs="Arial"/>
          <w:sz w:val="22"/>
          <w:szCs w:val="22"/>
        </w:rPr>
        <w:t xml:space="preserve">Exploration &amp; Production Company </w:t>
      </w:r>
      <w:r>
        <w:rPr>
          <w:rFonts w:ascii="Arial" w:hAnsi="Arial" w:cs="Arial"/>
          <w:sz w:val="22"/>
          <w:szCs w:val="22"/>
        </w:rPr>
        <w:t xml:space="preserve">for mentoring this effort.  </w:t>
      </w:r>
    </w:p>
    <w:p w:rsidR="001D4B82" w:rsidRDefault="001D4B82" w:rsidP="001D4B82">
      <w:pPr>
        <w:jc w:val="both"/>
      </w:pPr>
    </w:p>
    <w:p w:rsidR="001D4B82" w:rsidRPr="00F87B7B" w:rsidRDefault="001D4B82" w:rsidP="001D4B82">
      <w:pPr>
        <w:pStyle w:val="Heading3"/>
        <w:spacing w:before="0" w:after="0"/>
        <w:jc w:val="center"/>
        <w:rPr>
          <w:sz w:val="22"/>
          <w:szCs w:val="22"/>
        </w:rPr>
      </w:pPr>
      <w:r>
        <w:rPr>
          <w:sz w:val="22"/>
          <w:szCs w:val="22"/>
        </w:rPr>
        <w:t>REFERENCES</w:t>
      </w:r>
    </w:p>
    <w:p w:rsidR="001D4B82" w:rsidRPr="00522A10" w:rsidRDefault="001D4B82" w:rsidP="001D4B82">
      <w:pPr>
        <w:jc w:val="both"/>
        <w:rPr>
          <w:rFonts w:ascii="Arial" w:hAnsi="Arial" w:cs="Arial"/>
          <w:sz w:val="22"/>
          <w:szCs w:val="22"/>
        </w:rPr>
      </w:pPr>
    </w:p>
    <w:p w:rsidR="004F0BA5" w:rsidRDefault="004F0BA5" w:rsidP="00D27088">
      <w:pPr>
        <w:pStyle w:val="EndnoteText"/>
        <w:numPr>
          <w:ilvl w:val="0"/>
          <w:numId w:val="7"/>
        </w:numPr>
        <w:spacing w:before="0" w:after="0"/>
        <w:ind w:firstLine="0"/>
        <w:jc w:val="both"/>
        <w:rPr>
          <w:rFonts w:ascii="Arial" w:hAnsi="Arial" w:cs="Arial"/>
          <w:sz w:val="22"/>
        </w:rPr>
      </w:pPr>
      <w:r w:rsidRPr="00E52607">
        <w:rPr>
          <w:rFonts w:ascii="Arial" w:hAnsi="Arial" w:cs="Arial"/>
          <w:sz w:val="22"/>
        </w:rPr>
        <w:t>ISO/NACE International, ISO</w:t>
      </w:r>
      <w:r>
        <w:rPr>
          <w:rFonts w:ascii="Arial" w:hAnsi="Arial" w:cs="Arial"/>
          <w:sz w:val="22"/>
        </w:rPr>
        <w:t xml:space="preserve"> </w:t>
      </w:r>
      <w:r w:rsidRPr="00E52607">
        <w:rPr>
          <w:rFonts w:ascii="Arial" w:hAnsi="Arial" w:cs="Arial"/>
          <w:sz w:val="22"/>
        </w:rPr>
        <w:t>15156/</w:t>
      </w:r>
      <w:r>
        <w:rPr>
          <w:rFonts w:ascii="Arial" w:hAnsi="Arial" w:cs="Arial"/>
          <w:sz w:val="22"/>
        </w:rPr>
        <w:t xml:space="preserve">NACE </w:t>
      </w:r>
      <w:r w:rsidRPr="00E52607">
        <w:rPr>
          <w:rFonts w:ascii="Arial" w:hAnsi="Arial" w:cs="Arial"/>
          <w:sz w:val="22"/>
        </w:rPr>
        <w:t>MR0175-2009 Standard "Petroleum and natural gas industries - Materials for use in H2S-containing environments in oil and gas production", NACE International, Houston, 2009.</w:t>
      </w:r>
    </w:p>
    <w:p w:rsidR="00032F94" w:rsidRPr="00E52607" w:rsidRDefault="00032F94" w:rsidP="00D27088">
      <w:pPr>
        <w:pStyle w:val="EndnoteText"/>
        <w:spacing w:before="0" w:after="0"/>
        <w:ind w:left="360" w:firstLine="0"/>
        <w:jc w:val="both"/>
        <w:rPr>
          <w:rFonts w:ascii="Arial" w:hAnsi="Arial" w:cs="Arial"/>
          <w:sz w:val="22"/>
        </w:rPr>
      </w:pPr>
    </w:p>
    <w:p w:rsidR="004F0BA5" w:rsidRDefault="004F0BA5" w:rsidP="00032F94">
      <w:pPr>
        <w:pStyle w:val="EndnoteText"/>
        <w:numPr>
          <w:ilvl w:val="0"/>
          <w:numId w:val="7"/>
        </w:numPr>
        <w:spacing w:before="0" w:after="0"/>
        <w:ind w:firstLine="0"/>
        <w:jc w:val="both"/>
        <w:rPr>
          <w:rFonts w:ascii="Arial" w:hAnsi="Arial" w:cs="Arial"/>
          <w:sz w:val="22"/>
        </w:rPr>
      </w:pPr>
      <w:r>
        <w:rPr>
          <w:rFonts w:ascii="Arial" w:hAnsi="Arial" w:cs="Arial"/>
          <w:sz w:val="22"/>
        </w:rPr>
        <w:tab/>
      </w:r>
      <w:r w:rsidRPr="00E52607">
        <w:rPr>
          <w:rFonts w:ascii="Arial" w:hAnsi="Arial" w:cs="Arial"/>
          <w:sz w:val="22"/>
        </w:rPr>
        <w:t xml:space="preserve">Jocelyn L. Nelson and Ramani V. Reddy, “Selecting Representative Laboratory Test Conditions for Fit-For-Purpose OCTG Material Evaluations”, </w:t>
      </w:r>
      <w:r w:rsidRPr="00E52607">
        <w:rPr>
          <w:rFonts w:ascii="Arial" w:hAnsi="Arial" w:cs="Arial"/>
          <w:i/>
          <w:sz w:val="22"/>
        </w:rPr>
        <w:t>Society of Petroleum Eng.</w:t>
      </w:r>
      <w:r w:rsidRPr="00E52607">
        <w:rPr>
          <w:rFonts w:ascii="Arial" w:hAnsi="Arial" w:cs="Arial"/>
          <w:sz w:val="22"/>
        </w:rPr>
        <w:t>, SPE 97576, 2005.</w:t>
      </w:r>
    </w:p>
    <w:p w:rsidR="00032F94" w:rsidRPr="00E52607" w:rsidRDefault="00032F94" w:rsidP="00032F94">
      <w:pPr>
        <w:pStyle w:val="EndnoteText"/>
        <w:spacing w:before="0" w:after="0"/>
        <w:ind w:left="420" w:firstLine="0"/>
        <w:jc w:val="both"/>
        <w:rPr>
          <w:rFonts w:ascii="Arial" w:hAnsi="Arial" w:cs="Arial"/>
          <w:sz w:val="22"/>
        </w:rPr>
      </w:pPr>
    </w:p>
    <w:p w:rsidR="004F0BA5" w:rsidRDefault="004F0BA5" w:rsidP="00032F94">
      <w:pPr>
        <w:pStyle w:val="EndnoteText"/>
        <w:numPr>
          <w:ilvl w:val="0"/>
          <w:numId w:val="7"/>
        </w:numPr>
        <w:spacing w:before="0" w:after="0"/>
        <w:ind w:firstLine="0"/>
        <w:jc w:val="both"/>
        <w:rPr>
          <w:rFonts w:ascii="Arial" w:hAnsi="Arial" w:cs="Arial"/>
          <w:sz w:val="22"/>
        </w:rPr>
      </w:pPr>
      <w:r>
        <w:rPr>
          <w:rFonts w:ascii="Arial" w:hAnsi="Arial" w:cs="Arial"/>
          <w:sz w:val="22"/>
        </w:rPr>
        <w:tab/>
        <w:t xml:space="preserve">W.D. Grimes, B.P. Miglin, R.N. French, and A.T. </w:t>
      </w:r>
      <w:r w:rsidRPr="00D25BA5">
        <w:rPr>
          <w:rFonts w:ascii="Arial" w:hAnsi="Arial" w:cs="Arial"/>
          <w:sz w:val="22"/>
        </w:rPr>
        <w:t>Coleman</w:t>
      </w:r>
      <w:r>
        <w:rPr>
          <w:rFonts w:ascii="Arial" w:hAnsi="Arial" w:cs="Arial"/>
          <w:sz w:val="22"/>
        </w:rPr>
        <w:t xml:space="preserve">, </w:t>
      </w:r>
      <w:r w:rsidRPr="00032F94">
        <w:rPr>
          <w:rFonts w:ascii="Arial" w:hAnsi="Arial" w:cs="Arial"/>
          <w:sz w:val="22"/>
        </w:rPr>
        <w:t>“</w:t>
      </w:r>
      <w:r w:rsidRPr="00D25BA5">
        <w:rPr>
          <w:rFonts w:ascii="Arial" w:hAnsi="Arial" w:cs="Arial"/>
          <w:sz w:val="22"/>
        </w:rPr>
        <w:t xml:space="preserve">Physical </w:t>
      </w:r>
      <w:r>
        <w:rPr>
          <w:rFonts w:ascii="Arial" w:hAnsi="Arial" w:cs="Arial"/>
          <w:sz w:val="22"/>
        </w:rPr>
        <w:t>C</w:t>
      </w:r>
      <w:r w:rsidRPr="00D25BA5">
        <w:rPr>
          <w:rFonts w:ascii="Arial" w:hAnsi="Arial" w:cs="Arial"/>
          <w:sz w:val="22"/>
        </w:rPr>
        <w:t xml:space="preserve">hemistry </w:t>
      </w:r>
      <w:r>
        <w:rPr>
          <w:rFonts w:ascii="Arial" w:hAnsi="Arial" w:cs="Arial"/>
          <w:sz w:val="22"/>
        </w:rPr>
        <w:t>Tests of H</w:t>
      </w:r>
      <w:r w:rsidRPr="00D25BA5">
        <w:rPr>
          <w:rFonts w:ascii="Arial" w:hAnsi="Arial" w:cs="Arial"/>
          <w:sz w:val="22"/>
        </w:rPr>
        <w:t xml:space="preserve">ydrogen </w:t>
      </w:r>
      <w:r>
        <w:rPr>
          <w:rFonts w:ascii="Arial" w:hAnsi="Arial" w:cs="Arial"/>
          <w:sz w:val="22"/>
        </w:rPr>
        <w:t>S</w:t>
      </w:r>
      <w:r w:rsidRPr="00D25BA5">
        <w:rPr>
          <w:rFonts w:ascii="Arial" w:hAnsi="Arial" w:cs="Arial"/>
          <w:sz w:val="22"/>
        </w:rPr>
        <w:t xml:space="preserve">ulfide </w:t>
      </w:r>
      <w:r>
        <w:rPr>
          <w:rFonts w:ascii="Arial" w:hAnsi="Arial" w:cs="Arial"/>
          <w:sz w:val="22"/>
        </w:rPr>
        <w:t>G</w:t>
      </w:r>
      <w:r w:rsidRPr="00D25BA5">
        <w:rPr>
          <w:rFonts w:ascii="Arial" w:hAnsi="Arial" w:cs="Arial"/>
          <w:sz w:val="22"/>
        </w:rPr>
        <w:t xml:space="preserve">as and SCC </w:t>
      </w:r>
      <w:r>
        <w:rPr>
          <w:rFonts w:ascii="Arial" w:hAnsi="Arial" w:cs="Arial"/>
          <w:sz w:val="22"/>
        </w:rPr>
        <w:t>R</w:t>
      </w:r>
      <w:r w:rsidRPr="00D25BA5">
        <w:rPr>
          <w:rFonts w:ascii="Arial" w:hAnsi="Arial" w:cs="Arial"/>
          <w:sz w:val="22"/>
        </w:rPr>
        <w:t xml:space="preserve">esults at </w:t>
      </w:r>
      <w:r>
        <w:rPr>
          <w:rFonts w:ascii="Arial" w:hAnsi="Arial" w:cs="Arial"/>
          <w:sz w:val="22"/>
        </w:rPr>
        <w:t>N</w:t>
      </w:r>
      <w:r w:rsidRPr="00D25BA5">
        <w:rPr>
          <w:rFonts w:ascii="Arial" w:hAnsi="Arial" w:cs="Arial"/>
          <w:sz w:val="22"/>
        </w:rPr>
        <w:t>ear-</w:t>
      </w:r>
      <w:r>
        <w:rPr>
          <w:rFonts w:ascii="Arial" w:hAnsi="Arial" w:cs="Arial"/>
          <w:sz w:val="22"/>
        </w:rPr>
        <w:t>A</w:t>
      </w:r>
      <w:r w:rsidRPr="00D25BA5">
        <w:rPr>
          <w:rFonts w:ascii="Arial" w:hAnsi="Arial" w:cs="Arial"/>
          <w:sz w:val="22"/>
        </w:rPr>
        <w:t xml:space="preserve">mbient and </w:t>
      </w:r>
      <w:r>
        <w:rPr>
          <w:rFonts w:ascii="Arial" w:hAnsi="Arial" w:cs="Arial"/>
          <w:sz w:val="22"/>
        </w:rPr>
        <w:t>E</w:t>
      </w:r>
      <w:r w:rsidRPr="00D25BA5">
        <w:rPr>
          <w:rFonts w:ascii="Arial" w:hAnsi="Arial" w:cs="Arial"/>
          <w:sz w:val="22"/>
        </w:rPr>
        <w:t xml:space="preserve">levated </w:t>
      </w:r>
      <w:r>
        <w:rPr>
          <w:rFonts w:ascii="Arial" w:hAnsi="Arial" w:cs="Arial"/>
          <w:sz w:val="22"/>
        </w:rPr>
        <w:t>P</w:t>
      </w:r>
      <w:r w:rsidRPr="00D25BA5">
        <w:rPr>
          <w:rFonts w:ascii="Arial" w:hAnsi="Arial" w:cs="Arial"/>
          <w:sz w:val="22"/>
        </w:rPr>
        <w:t>ressures</w:t>
      </w:r>
      <w:r>
        <w:rPr>
          <w:rFonts w:ascii="Arial" w:hAnsi="Arial" w:cs="Arial"/>
          <w:sz w:val="22"/>
        </w:rPr>
        <w:t xml:space="preserve">”, </w:t>
      </w:r>
      <w:r w:rsidRPr="00032F94">
        <w:rPr>
          <w:rFonts w:ascii="Arial" w:hAnsi="Arial" w:cs="Arial"/>
          <w:sz w:val="22"/>
        </w:rPr>
        <w:t>European Federation of Corrosion</w:t>
      </w:r>
      <w:r>
        <w:rPr>
          <w:rFonts w:ascii="Arial" w:hAnsi="Arial" w:cs="Arial"/>
          <w:sz w:val="22"/>
        </w:rPr>
        <w:t>, Manuscript #1587, 2013</w:t>
      </w:r>
      <w:r w:rsidR="00032F94">
        <w:rPr>
          <w:rFonts w:ascii="Arial" w:hAnsi="Arial" w:cs="Arial"/>
          <w:sz w:val="22"/>
        </w:rPr>
        <w:t>.</w:t>
      </w:r>
    </w:p>
    <w:p w:rsidR="00032F94" w:rsidRPr="00E52607" w:rsidRDefault="00032F94" w:rsidP="00032F94">
      <w:pPr>
        <w:pStyle w:val="EndnoteText"/>
        <w:spacing w:before="0" w:after="0"/>
        <w:ind w:left="360" w:firstLine="0"/>
        <w:jc w:val="both"/>
        <w:rPr>
          <w:rFonts w:ascii="Arial" w:hAnsi="Arial" w:cs="Arial"/>
          <w:sz w:val="22"/>
        </w:rPr>
      </w:pPr>
    </w:p>
    <w:p w:rsidR="004F0BA5" w:rsidRPr="00E52607" w:rsidRDefault="004F0BA5" w:rsidP="00032F94">
      <w:pPr>
        <w:pStyle w:val="EndnoteText"/>
        <w:numPr>
          <w:ilvl w:val="0"/>
          <w:numId w:val="7"/>
        </w:numPr>
        <w:spacing w:before="0" w:after="0"/>
        <w:ind w:firstLine="0"/>
        <w:jc w:val="both"/>
        <w:rPr>
          <w:rFonts w:ascii="Arial" w:hAnsi="Arial" w:cs="Arial"/>
          <w:sz w:val="22"/>
        </w:rPr>
      </w:pPr>
      <w:r w:rsidRPr="00E52607">
        <w:rPr>
          <w:rFonts w:ascii="Arial" w:hAnsi="Arial" w:cs="Arial"/>
          <w:sz w:val="22"/>
        </w:rPr>
        <w:tab/>
        <w:t>NACE International Test Method TM0177-2005, “Laboratory Testing of Metals for Resistance to Sulfide Stress Cracking and Stress Corrosion Cracking in H</w:t>
      </w:r>
      <w:r w:rsidRPr="00032F94">
        <w:rPr>
          <w:rFonts w:ascii="Arial" w:hAnsi="Arial" w:cs="Arial"/>
          <w:sz w:val="22"/>
        </w:rPr>
        <w:t>2</w:t>
      </w:r>
      <w:r w:rsidRPr="00E52607">
        <w:rPr>
          <w:rFonts w:ascii="Arial" w:hAnsi="Arial" w:cs="Arial"/>
          <w:sz w:val="22"/>
        </w:rPr>
        <w:t xml:space="preserve">S Environments”, </w:t>
      </w:r>
      <w:r w:rsidRPr="00032F94">
        <w:rPr>
          <w:rFonts w:ascii="Arial" w:hAnsi="Arial" w:cs="Arial"/>
          <w:sz w:val="22"/>
        </w:rPr>
        <w:t>NACE International</w:t>
      </w:r>
      <w:r w:rsidRPr="00E52607">
        <w:rPr>
          <w:rFonts w:ascii="Arial" w:hAnsi="Arial" w:cs="Arial"/>
          <w:sz w:val="22"/>
        </w:rPr>
        <w:t>, 2005.</w:t>
      </w:r>
    </w:p>
    <w:p w:rsidR="004F0BA5" w:rsidRDefault="004F0BA5" w:rsidP="00032F94">
      <w:pPr>
        <w:pStyle w:val="EndnoteText"/>
        <w:numPr>
          <w:ilvl w:val="0"/>
          <w:numId w:val="7"/>
        </w:numPr>
        <w:spacing w:before="0" w:after="0"/>
        <w:ind w:firstLine="0"/>
        <w:jc w:val="both"/>
        <w:rPr>
          <w:rFonts w:ascii="Arial" w:hAnsi="Arial" w:cs="Arial"/>
          <w:sz w:val="22"/>
        </w:rPr>
      </w:pPr>
      <w:r w:rsidRPr="00E52607">
        <w:rPr>
          <w:rFonts w:ascii="Arial" w:hAnsi="Arial" w:cs="Arial"/>
          <w:sz w:val="22"/>
        </w:rPr>
        <w:lastRenderedPageBreak/>
        <w:tab/>
      </w:r>
      <w:r w:rsidRPr="00973250">
        <w:rPr>
          <w:rFonts w:ascii="Arial" w:hAnsi="Arial" w:cs="Arial"/>
          <w:sz w:val="22"/>
        </w:rPr>
        <w:t>ISO 11960/API 5CT (2011), “Petroleum and natural gas industries —Steel pipes for use as casing or tubing for wells” (Geneva, Switzerland: ISO or Washington DC, USA:API )</w:t>
      </w:r>
      <w:r w:rsidRPr="00E52607">
        <w:rPr>
          <w:rFonts w:ascii="Arial" w:hAnsi="Arial" w:cs="Arial"/>
          <w:sz w:val="22"/>
        </w:rPr>
        <w:t>.</w:t>
      </w:r>
    </w:p>
    <w:p w:rsidR="00032F94" w:rsidRDefault="00032F94" w:rsidP="00032F94">
      <w:pPr>
        <w:pStyle w:val="EndnoteText"/>
        <w:spacing w:before="0" w:after="0"/>
        <w:ind w:left="360" w:firstLine="0"/>
        <w:jc w:val="both"/>
        <w:rPr>
          <w:rFonts w:ascii="Arial" w:hAnsi="Arial" w:cs="Arial"/>
          <w:sz w:val="22"/>
        </w:rPr>
      </w:pPr>
    </w:p>
    <w:p w:rsidR="00032F94" w:rsidRDefault="004F0BA5" w:rsidP="00032F94">
      <w:pPr>
        <w:pStyle w:val="EndnoteText"/>
        <w:numPr>
          <w:ilvl w:val="0"/>
          <w:numId w:val="7"/>
        </w:numPr>
        <w:spacing w:before="0" w:after="0"/>
        <w:ind w:firstLine="0"/>
        <w:jc w:val="both"/>
        <w:rPr>
          <w:rFonts w:ascii="Arial" w:hAnsi="Arial" w:cs="Arial"/>
          <w:sz w:val="22"/>
        </w:rPr>
      </w:pPr>
      <w:r>
        <w:rPr>
          <w:rFonts w:ascii="Arial" w:hAnsi="Arial" w:cs="Arial"/>
          <w:sz w:val="22"/>
        </w:rPr>
        <w:tab/>
      </w:r>
      <w:r w:rsidRPr="00DF02D6">
        <w:rPr>
          <w:rFonts w:ascii="Arial" w:hAnsi="Arial" w:cs="Arial"/>
          <w:sz w:val="22"/>
        </w:rPr>
        <w:t>W</w:t>
      </w:r>
      <w:r>
        <w:rPr>
          <w:rFonts w:ascii="Arial" w:hAnsi="Arial" w:cs="Arial"/>
          <w:sz w:val="22"/>
        </w:rPr>
        <w:t>.</w:t>
      </w:r>
      <w:r w:rsidRPr="00DF02D6">
        <w:rPr>
          <w:rFonts w:ascii="Arial" w:hAnsi="Arial" w:cs="Arial"/>
          <w:sz w:val="22"/>
        </w:rPr>
        <w:t>D</w:t>
      </w:r>
      <w:r>
        <w:rPr>
          <w:rFonts w:ascii="Arial" w:hAnsi="Arial" w:cs="Arial"/>
          <w:sz w:val="22"/>
        </w:rPr>
        <w:t>.</w:t>
      </w:r>
      <w:r w:rsidRPr="00DF02D6">
        <w:rPr>
          <w:rFonts w:ascii="Arial" w:hAnsi="Arial" w:cs="Arial"/>
          <w:sz w:val="22"/>
        </w:rPr>
        <w:t xml:space="preserve"> Grimes and R</w:t>
      </w:r>
      <w:r>
        <w:rPr>
          <w:rFonts w:ascii="Arial" w:hAnsi="Arial" w:cs="Arial"/>
          <w:sz w:val="22"/>
        </w:rPr>
        <w:t>.</w:t>
      </w:r>
      <w:r w:rsidRPr="00DF02D6">
        <w:rPr>
          <w:rFonts w:ascii="Arial" w:hAnsi="Arial" w:cs="Arial"/>
          <w:sz w:val="22"/>
        </w:rPr>
        <w:t>I</w:t>
      </w:r>
      <w:r>
        <w:rPr>
          <w:rFonts w:ascii="Arial" w:hAnsi="Arial" w:cs="Arial"/>
          <w:sz w:val="22"/>
        </w:rPr>
        <w:t>.</w:t>
      </w:r>
      <w:r w:rsidRPr="00DF02D6">
        <w:rPr>
          <w:rFonts w:ascii="Arial" w:hAnsi="Arial" w:cs="Arial"/>
          <w:sz w:val="22"/>
        </w:rPr>
        <w:t xml:space="preserve"> McNeil, “Prediction of Hydrogen Sulfide and Carbon Dioxide in HPHT Wells”, SPE paper 97568 presented at the 2005 SPE HPHT Advanced Technology Symposium held in the Woodlands, TX  USA, May 17-19, 2005.</w:t>
      </w:r>
    </w:p>
    <w:p w:rsidR="004F0BA5" w:rsidRPr="00DF02D6" w:rsidRDefault="004F0BA5" w:rsidP="00032F94">
      <w:pPr>
        <w:pStyle w:val="EndnoteText"/>
        <w:spacing w:before="0" w:after="0"/>
        <w:ind w:left="360" w:firstLine="0"/>
        <w:jc w:val="both"/>
        <w:rPr>
          <w:rFonts w:ascii="Arial" w:hAnsi="Arial" w:cs="Arial"/>
          <w:sz w:val="22"/>
        </w:rPr>
      </w:pPr>
    </w:p>
    <w:p w:rsidR="004F0BA5" w:rsidRDefault="004F0BA5" w:rsidP="00032F94">
      <w:pPr>
        <w:pStyle w:val="EndnoteText"/>
        <w:numPr>
          <w:ilvl w:val="0"/>
          <w:numId w:val="7"/>
        </w:numPr>
        <w:spacing w:before="0" w:after="0"/>
        <w:ind w:firstLine="0"/>
        <w:jc w:val="both"/>
        <w:rPr>
          <w:rFonts w:ascii="Arial" w:hAnsi="Arial" w:cs="Arial"/>
          <w:sz w:val="22"/>
        </w:rPr>
      </w:pPr>
      <w:r w:rsidRPr="00032F94">
        <w:rPr>
          <w:rFonts w:ascii="Arial" w:hAnsi="Arial" w:cs="Arial"/>
          <w:sz w:val="22"/>
        </w:rPr>
        <w:tab/>
      </w:r>
      <w:r w:rsidRPr="003A2861">
        <w:rPr>
          <w:rFonts w:ascii="Arial" w:hAnsi="Arial" w:cs="Arial"/>
          <w:sz w:val="22"/>
        </w:rPr>
        <w:t>P. Aagaard, J. S. Jahren and S. N. Ehrenberg, “H</w:t>
      </w:r>
      <w:r w:rsidRPr="00032F94">
        <w:rPr>
          <w:rFonts w:ascii="Arial" w:hAnsi="Arial" w:cs="Arial"/>
          <w:sz w:val="22"/>
        </w:rPr>
        <w:t>2</w:t>
      </w:r>
      <w:r w:rsidRPr="003A2861">
        <w:rPr>
          <w:rFonts w:ascii="Arial" w:hAnsi="Arial" w:cs="Arial"/>
          <w:sz w:val="22"/>
        </w:rPr>
        <w:t>S-controlling reactions in clastic hydrocarbon reservoirs from the Norwegian Shelf and US Gulf Coast“, in Water-Rock Interaction 2001, Cidu (ed.) Swets &amp; Zeitlinger, 2001.</w:t>
      </w:r>
    </w:p>
    <w:p w:rsidR="00032F94" w:rsidRPr="00032F94" w:rsidRDefault="00032F94" w:rsidP="00032F94">
      <w:pPr>
        <w:pStyle w:val="EndnoteText"/>
        <w:spacing w:before="0" w:after="0"/>
        <w:ind w:left="360" w:firstLine="0"/>
        <w:jc w:val="both"/>
        <w:rPr>
          <w:rFonts w:ascii="Arial" w:hAnsi="Arial" w:cs="Arial"/>
          <w:sz w:val="22"/>
        </w:rPr>
      </w:pPr>
    </w:p>
    <w:p w:rsidR="004F0BA5" w:rsidRDefault="004F0BA5" w:rsidP="00032F94">
      <w:pPr>
        <w:pStyle w:val="EndnoteText"/>
        <w:numPr>
          <w:ilvl w:val="0"/>
          <w:numId w:val="7"/>
        </w:numPr>
        <w:spacing w:before="0" w:after="0"/>
        <w:ind w:firstLine="0"/>
        <w:jc w:val="both"/>
        <w:rPr>
          <w:rFonts w:ascii="Arial" w:hAnsi="Arial" w:cs="Arial"/>
          <w:sz w:val="22"/>
        </w:rPr>
      </w:pPr>
      <w:r w:rsidRPr="00032F94">
        <w:rPr>
          <w:rFonts w:ascii="Arial" w:hAnsi="Arial" w:cs="Arial"/>
          <w:sz w:val="22"/>
        </w:rPr>
        <w:tab/>
      </w:r>
      <w:r w:rsidRPr="003A2861">
        <w:rPr>
          <w:rFonts w:ascii="Arial" w:hAnsi="Arial" w:cs="Arial"/>
          <w:sz w:val="22"/>
        </w:rPr>
        <w:t>O. Kunz and W. Wagner, “The GERG-2008 Wide-Range Equation of State for Natural Gases and Other Mixtures: An Expansion of GERG-2004”,  J. of Chem. Eng. Data, Vol. 57, 3032-3091, 2012.</w:t>
      </w:r>
    </w:p>
    <w:p w:rsidR="00032F94" w:rsidRPr="003A2861" w:rsidRDefault="00032F94" w:rsidP="00032F94">
      <w:pPr>
        <w:pStyle w:val="EndnoteText"/>
        <w:spacing w:before="0" w:after="0"/>
        <w:ind w:left="360" w:firstLine="0"/>
        <w:jc w:val="both"/>
        <w:rPr>
          <w:rFonts w:ascii="Arial" w:hAnsi="Arial" w:cs="Arial"/>
          <w:sz w:val="22"/>
        </w:rPr>
      </w:pPr>
    </w:p>
    <w:p w:rsidR="004F0BA5"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sidRPr="003A2861">
        <w:rPr>
          <w:rFonts w:ascii="Arial" w:hAnsi="Arial" w:cs="Arial"/>
          <w:sz w:val="22"/>
        </w:rPr>
        <w:t>E.W</w:t>
      </w:r>
      <w:r w:rsidR="004F0BA5">
        <w:rPr>
          <w:rFonts w:ascii="Arial" w:hAnsi="Arial" w:cs="Arial"/>
          <w:sz w:val="22"/>
        </w:rPr>
        <w:t xml:space="preserve">. </w:t>
      </w:r>
      <w:r w:rsidR="004F0BA5" w:rsidRPr="003A2861">
        <w:rPr>
          <w:rFonts w:ascii="Arial" w:hAnsi="Arial" w:cs="Arial"/>
          <w:sz w:val="22"/>
        </w:rPr>
        <w:t>Lemmon,</w:t>
      </w:r>
      <w:r w:rsidR="004F0BA5">
        <w:rPr>
          <w:rFonts w:ascii="Arial" w:hAnsi="Arial" w:cs="Arial"/>
          <w:sz w:val="22"/>
        </w:rPr>
        <w:t xml:space="preserve"> M.L.</w:t>
      </w:r>
      <w:r w:rsidR="004F0BA5" w:rsidRPr="003A2861">
        <w:rPr>
          <w:rFonts w:ascii="Arial" w:hAnsi="Arial" w:cs="Arial"/>
          <w:sz w:val="22"/>
        </w:rPr>
        <w:t xml:space="preserve"> Huber, </w:t>
      </w:r>
      <w:r w:rsidR="004F0BA5">
        <w:rPr>
          <w:rFonts w:ascii="Arial" w:hAnsi="Arial" w:cs="Arial"/>
          <w:sz w:val="22"/>
        </w:rPr>
        <w:t>and M.O.</w:t>
      </w:r>
      <w:r w:rsidR="004F0BA5" w:rsidRPr="003A2861">
        <w:rPr>
          <w:rFonts w:ascii="Arial" w:hAnsi="Arial" w:cs="Arial"/>
          <w:sz w:val="22"/>
        </w:rPr>
        <w:t xml:space="preserve"> McLinden, NIST Standard Reference Database 23:  Reference Fluid Thermodynamic and Transport Properties-REFPROP, Version 9.1, National Institute of Standards and Technology, Standard Reference Data Program, Gaithersburg, 2013.</w:t>
      </w:r>
    </w:p>
    <w:p w:rsidR="00032F94" w:rsidRPr="003A2861" w:rsidRDefault="00032F94" w:rsidP="00032F94">
      <w:pPr>
        <w:pStyle w:val="EndnoteText"/>
        <w:spacing w:before="0" w:after="0"/>
        <w:ind w:left="360" w:firstLine="0"/>
        <w:jc w:val="both"/>
        <w:rPr>
          <w:rFonts w:ascii="Arial" w:hAnsi="Arial" w:cs="Arial"/>
          <w:sz w:val="22"/>
        </w:rPr>
      </w:pPr>
    </w:p>
    <w:p w:rsidR="004F0BA5"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sidRPr="003A2861">
        <w:rPr>
          <w:rFonts w:ascii="Arial" w:hAnsi="Arial" w:cs="Arial"/>
          <w:sz w:val="22"/>
        </w:rPr>
        <w:t>J. M. Prausnitz, R.N. Lichtenthaler, E. G. de Azevedo, “Fugacities in Gas Mixtures” Chapter 5 in  “Molecular Thermodynamics of Fluid-Phase Equilibria” 3rd edition,  Prentice Hall, 1999.</w:t>
      </w:r>
    </w:p>
    <w:p w:rsidR="00032F94" w:rsidRPr="003A2861" w:rsidRDefault="00032F94" w:rsidP="00032F94">
      <w:pPr>
        <w:pStyle w:val="EndnoteText"/>
        <w:spacing w:before="0" w:after="0"/>
        <w:ind w:left="360" w:firstLine="0"/>
        <w:jc w:val="both"/>
        <w:rPr>
          <w:rFonts w:ascii="Arial" w:hAnsi="Arial" w:cs="Arial"/>
          <w:sz w:val="22"/>
        </w:rPr>
      </w:pPr>
    </w:p>
    <w:p w:rsidR="004F0BA5"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Pr>
          <w:rFonts w:ascii="Arial" w:hAnsi="Arial" w:cs="Arial"/>
          <w:sz w:val="22"/>
        </w:rPr>
        <w:t>H.H. Reamer</w:t>
      </w:r>
      <w:r w:rsidR="004F0BA5" w:rsidRPr="003A2861">
        <w:rPr>
          <w:rFonts w:ascii="Arial" w:hAnsi="Arial" w:cs="Arial"/>
          <w:sz w:val="22"/>
        </w:rPr>
        <w:t xml:space="preserve">, </w:t>
      </w:r>
      <w:r w:rsidR="004F0BA5">
        <w:rPr>
          <w:rFonts w:ascii="Arial" w:hAnsi="Arial" w:cs="Arial"/>
          <w:sz w:val="22"/>
        </w:rPr>
        <w:t xml:space="preserve">B.H. </w:t>
      </w:r>
      <w:r w:rsidR="004F0BA5" w:rsidRPr="003A2861">
        <w:rPr>
          <w:rFonts w:ascii="Arial" w:hAnsi="Arial" w:cs="Arial"/>
          <w:sz w:val="22"/>
        </w:rPr>
        <w:t>Sage</w:t>
      </w:r>
      <w:r w:rsidR="004F0BA5">
        <w:rPr>
          <w:rFonts w:ascii="Arial" w:hAnsi="Arial" w:cs="Arial"/>
          <w:sz w:val="22"/>
        </w:rPr>
        <w:t>, and W.N.</w:t>
      </w:r>
      <w:r w:rsidR="004F0BA5" w:rsidRPr="003A2861">
        <w:rPr>
          <w:rFonts w:ascii="Arial" w:hAnsi="Arial" w:cs="Arial"/>
          <w:sz w:val="22"/>
        </w:rPr>
        <w:t xml:space="preserve"> Lacey</w:t>
      </w:r>
      <w:r w:rsidR="004F0BA5">
        <w:rPr>
          <w:rFonts w:ascii="Arial" w:hAnsi="Arial" w:cs="Arial"/>
          <w:sz w:val="22"/>
        </w:rPr>
        <w:t xml:space="preserve">, </w:t>
      </w:r>
      <w:r w:rsidR="004F0BA5" w:rsidRPr="003A2861">
        <w:rPr>
          <w:rFonts w:ascii="Arial" w:hAnsi="Arial" w:cs="Arial"/>
          <w:sz w:val="22"/>
        </w:rPr>
        <w:t xml:space="preserve"> Ind.Eng.Chem., 43(4), 976-981, 1951</w:t>
      </w:r>
      <w:r w:rsidR="00032F94">
        <w:rPr>
          <w:rFonts w:ascii="Arial" w:hAnsi="Arial" w:cs="Arial"/>
          <w:sz w:val="22"/>
        </w:rPr>
        <w:t>.</w:t>
      </w:r>
    </w:p>
    <w:p w:rsidR="00032F94" w:rsidRDefault="00032F94" w:rsidP="00032F94">
      <w:pPr>
        <w:pStyle w:val="EndnoteText"/>
        <w:spacing w:before="0" w:after="0"/>
        <w:ind w:left="360" w:firstLine="0"/>
        <w:jc w:val="both"/>
        <w:rPr>
          <w:rFonts w:ascii="Arial" w:hAnsi="Arial" w:cs="Arial"/>
          <w:sz w:val="22"/>
        </w:rPr>
      </w:pPr>
    </w:p>
    <w:p w:rsidR="00032F94"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sidRPr="00E52607">
        <w:rPr>
          <w:rFonts w:ascii="Arial" w:hAnsi="Arial" w:cs="Arial"/>
          <w:sz w:val="22"/>
        </w:rPr>
        <w:t xml:space="preserve">E.P. Cernocky and W.D. Grimes, “Recommended Use of Three Separate Stress Formulas for the Design of Low Alloy Carbon Steel Tubing and Production Casing for Sour HPHT Wells”, </w:t>
      </w:r>
      <w:r w:rsidR="004F0BA5" w:rsidRPr="00032F94">
        <w:rPr>
          <w:rFonts w:ascii="Arial" w:hAnsi="Arial" w:cs="Arial"/>
          <w:sz w:val="22"/>
        </w:rPr>
        <w:t xml:space="preserve">Society of Petroleum Eng., </w:t>
      </w:r>
      <w:r w:rsidR="004F0BA5" w:rsidRPr="00E52607">
        <w:rPr>
          <w:rFonts w:ascii="Arial" w:hAnsi="Arial" w:cs="Arial"/>
          <w:sz w:val="22"/>
        </w:rPr>
        <w:t>SPE 97572, 2005</w:t>
      </w:r>
      <w:r w:rsidR="00032F94">
        <w:rPr>
          <w:rFonts w:ascii="Arial" w:hAnsi="Arial" w:cs="Arial"/>
          <w:sz w:val="22"/>
        </w:rPr>
        <w:t>.</w:t>
      </w:r>
    </w:p>
    <w:p w:rsidR="004F0BA5" w:rsidRDefault="004F0BA5" w:rsidP="00032F94">
      <w:pPr>
        <w:pStyle w:val="EndnoteText"/>
        <w:spacing w:before="0" w:after="0"/>
        <w:ind w:left="360" w:firstLine="0"/>
        <w:jc w:val="both"/>
        <w:rPr>
          <w:rFonts w:ascii="Arial" w:hAnsi="Arial" w:cs="Arial"/>
          <w:sz w:val="22"/>
        </w:rPr>
      </w:pPr>
      <w:r>
        <w:rPr>
          <w:rFonts w:ascii="Arial" w:hAnsi="Arial" w:cs="Arial"/>
          <w:sz w:val="22"/>
        </w:rPr>
        <w:tab/>
      </w:r>
    </w:p>
    <w:p w:rsidR="004F0BA5" w:rsidRPr="00032F94"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sidRPr="00032F94">
        <w:rPr>
          <w:rFonts w:ascii="Arial" w:hAnsi="Arial" w:cs="Arial"/>
          <w:sz w:val="22"/>
        </w:rPr>
        <w:t>E.P. Cernocky, D.L. Sponseller, and T.E. Sponseller,” Unconventional Applications of NACE Method A Tests to Investigate and Characterize Fundamental Aspects of Low Alloy Steel in H2S Environments” NACE International, Corrosion 2006, Paper 06129, 2006.</w:t>
      </w:r>
    </w:p>
    <w:p w:rsidR="00032F94" w:rsidRPr="00032F94" w:rsidRDefault="00032F94" w:rsidP="00032F94">
      <w:pPr>
        <w:pStyle w:val="EndnoteText"/>
        <w:spacing w:before="0" w:after="0"/>
        <w:ind w:left="360" w:firstLine="0"/>
        <w:jc w:val="both"/>
        <w:rPr>
          <w:rFonts w:ascii="Arial" w:hAnsi="Arial" w:cs="Arial"/>
          <w:sz w:val="22"/>
        </w:rPr>
      </w:pPr>
    </w:p>
    <w:p w:rsidR="004F0BA5"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sidRPr="004171F4">
        <w:rPr>
          <w:rFonts w:ascii="Arial" w:hAnsi="Arial" w:cs="Arial"/>
          <w:sz w:val="22"/>
        </w:rPr>
        <w:t>W</w:t>
      </w:r>
      <w:r w:rsidR="004F0BA5">
        <w:rPr>
          <w:rFonts w:ascii="Arial" w:hAnsi="Arial" w:cs="Arial"/>
          <w:sz w:val="22"/>
        </w:rPr>
        <w:t>.</w:t>
      </w:r>
      <w:r w:rsidR="004F0BA5" w:rsidRPr="004171F4">
        <w:rPr>
          <w:rFonts w:ascii="Arial" w:hAnsi="Arial" w:cs="Arial"/>
          <w:sz w:val="22"/>
        </w:rPr>
        <w:t>D</w:t>
      </w:r>
      <w:r w:rsidR="004F0BA5">
        <w:rPr>
          <w:rFonts w:ascii="Arial" w:hAnsi="Arial" w:cs="Arial"/>
          <w:sz w:val="22"/>
        </w:rPr>
        <w:t>.</w:t>
      </w:r>
      <w:r w:rsidR="004F0BA5" w:rsidRPr="004171F4">
        <w:rPr>
          <w:rFonts w:ascii="Arial" w:hAnsi="Arial" w:cs="Arial"/>
          <w:sz w:val="22"/>
        </w:rPr>
        <w:t xml:space="preserve"> Grimes, M</w:t>
      </w:r>
      <w:r w:rsidR="004F0BA5">
        <w:rPr>
          <w:rFonts w:ascii="Arial" w:hAnsi="Arial" w:cs="Arial"/>
          <w:sz w:val="22"/>
        </w:rPr>
        <w:t>.</w:t>
      </w:r>
      <w:r w:rsidR="004F0BA5" w:rsidRPr="004171F4">
        <w:rPr>
          <w:rFonts w:ascii="Arial" w:hAnsi="Arial" w:cs="Arial"/>
          <w:sz w:val="22"/>
        </w:rPr>
        <w:t>A</w:t>
      </w:r>
      <w:r w:rsidR="004F0BA5">
        <w:rPr>
          <w:rFonts w:ascii="Arial" w:hAnsi="Arial" w:cs="Arial"/>
          <w:sz w:val="22"/>
        </w:rPr>
        <w:t>.</w:t>
      </w:r>
      <w:r w:rsidR="004F0BA5" w:rsidRPr="004171F4">
        <w:rPr>
          <w:rFonts w:ascii="Arial" w:hAnsi="Arial" w:cs="Arial"/>
          <w:sz w:val="22"/>
        </w:rPr>
        <w:t xml:space="preserve"> Gonzalez and B</w:t>
      </w:r>
      <w:r w:rsidR="004F0BA5">
        <w:rPr>
          <w:rFonts w:ascii="Arial" w:hAnsi="Arial" w:cs="Arial"/>
          <w:sz w:val="22"/>
        </w:rPr>
        <w:t>.</w:t>
      </w:r>
      <w:r w:rsidR="004F0BA5" w:rsidRPr="004171F4">
        <w:rPr>
          <w:rFonts w:ascii="Arial" w:hAnsi="Arial" w:cs="Arial"/>
          <w:sz w:val="22"/>
        </w:rPr>
        <w:t xml:space="preserve"> Yang, “Sour Well Design-Three Sour Material Design Limitations, Including Test Data Verification”, ADIPEC 2013 Technical Conf, Paper 735, 2013</w:t>
      </w:r>
      <w:r w:rsidR="004F0BA5">
        <w:rPr>
          <w:rFonts w:ascii="Arial" w:hAnsi="Arial" w:cs="Arial"/>
          <w:sz w:val="22"/>
        </w:rPr>
        <w:t>.</w:t>
      </w:r>
    </w:p>
    <w:p w:rsidR="00032F94" w:rsidRPr="003A2861" w:rsidRDefault="00032F94" w:rsidP="00032F94">
      <w:pPr>
        <w:pStyle w:val="EndnoteText"/>
        <w:spacing w:before="0" w:after="0"/>
        <w:ind w:left="0" w:firstLine="0"/>
        <w:jc w:val="both"/>
        <w:rPr>
          <w:rFonts w:ascii="Arial" w:hAnsi="Arial" w:cs="Arial"/>
          <w:sz w:val="22"/>
        </w:rPr>
      </w:pPr>
    </w:p>
    <w:p w:rsidR="00032F94"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Pr>
          <w:rFonts w:ascii="Arial" w:hAnsi="Arial" w:cs="Arial"/>
          <w:sz w:val="22"/>
        </w:rPr>
        <w:t xml:space="preserve">C. </w:t>
      </w:r>
      <w:r w:rsidR="004F0BA5" w:rsidRPr="00973250">
        <w:rPr>
          <w:rFonts w:ascii="Arial" w:hAnsi="Arial" w:cs="Arial"/>
          <w:sz w:val="22"/>
        </w:rPr>
        <w:t xml:space="preserve">De Waard, </w:t>
      </w:r>
      <w:r w:rsidR="004F0BA5">
        <w:rPr>
          <w:rFonts w:ascii="Arial" w:hAnsi="Arial" w:cs="Arial"/>
          <w:sz w:val="22"/>
        </w:rPr>
        <w:t xml:space="preserve">U. </w:t>
      </w:r>
      <w:r w:rsidR="004F0BA5" w:rsidRPr="00973250">
        <w:rPr>
          <w:rFonts w:ascii="Arial" w:hAnsi="Arial" w:cs="Arial"/>
          <w:sz w:val="22"/>
        </w:rPr>
        <w:t>Lotz,</w:t>
      </w:r>
      <w:r w:rsidR="004F0BA5">
        <w:rPr>
          <w:rFonts w:ascii="Arial" w:hAnsi="Arial" w:cs="Arial"/>
          <w:sz w:val="22"/>
        </w:rPr>
        <w:t xml:space="preserve"> “</w:t>
      </w:r>
      <w:r w:rsidR="004F0BA5" w:rsidRPr="00973250">
        <w:rPr>
          <w:rFonts w:ascii="Arial" w:hAnsi="Arial" w:cs="Arial"/>
          <w:sz w:val="22"/>
        </w:rPr>
        <w:t>Predicti</w:t>
      </w:r>
      <w:r w:rsidR="004F0BA5">
        <w:rPr>
          <w:rFonts w:ascii="Arial" w:hAnsi="Arial" w:cs="Arial"/>
          <w:sz w:val="22"/>
        </w:rPr>
        <w:t>on</w:t>
      </w:r>
      <w:r w:rsidR="004F0BA5" w:rsidRPr="00973250">
        <w:rPr>
          <w:rFonts w:ascii="Arial" w:hAnsi="Arial" w:cs="Arial"/>
          <w:sz w:val="22"/>
        </w:rPr>
        <w:t xml:space="preserve"> </w:t>
      </w:r>
      <w:r w:rsidR="004F0BA5">
        <w:rPr>
          <w:rFonts w:ascii="Arial" w:hAnsi="Arial" w:cs="Arial"/>
          <w:sz w:val="22"/>
        </w:rPr>
        <w:t>of</w:t>
      </w:r>
      <w:r w:rsidR="004F0BA5" w:rsidRPr="00973250">
        <w:rPr>
          <w:rFonts w:ascii="Arial" w:hAnsi="Arial" w:cs="Arial"/>
          <w:sz w:val="22"/>
        </w:rPr>
        <w:t xml:space="preserve"> C</w:t>
      </w:r>
      <w:r w:rsidR="004F0BA5">
        <w:rPr>
          <w:rFonts w:ascii="Arial" w:hAnsi="Arial" w:cs="Arial"/>
          <w:sz w:val="22"/>
        </w:rPr>
        <w:t>O</w:t>
      </w:r>
      <w:r w:rsidR="004F0BA5" w:rsidRPr="00032F94">
        <w:rPr>
          <w:rFonts w:ascii="Arial" w:hAnsi="Arial" w:cs="Arial"/>
          <w:sz w:val="22"/>
        </w:rPr>
        <w:t>2</w:t>
      </w:r>
      <w:r w:rsidR="004F0BA5">
        <w:rPr>
          <w:rFonts w:ascii="Arial" w:hAnsi="Arial" w:cs="Arial"/>
          <w:sz w:val="22"/>
        </w:rPr>
        <w:t xml:space="preserve"> C</w:t>
      </w:r>
      <w:r w:rsidR="004F0BA5" w:rsidRPr="00973250">
        <w:rPr>
          <w:rFonts w:ascii="Arial" w:hAnsi="Arial" w:cs="Arial"/>
          <w:sz w:val="22"/>
        </w:rPr>
        <w:t xml:space="preserve">orrosion </w:t>
      </w:r>
      <w:r w:rsidR="004F0BA5">
        <w:rPr>
          <w:rFonts w:ascii="Arial" w:hAnsi="Arial" w:cs="Arial"/>
          <w:sz w:val="22"/>
        </w:rPr>
        <w:t xml:space="preserve">of carbon Steel”, </w:t>
      </w:r>
      <w:r w:rsidR="004F0BA5" w:rsidRPr="003A2861">
        <w:rPr>
          <w:rFonts w:ascii="Arial" w:hAnsi="Arial" w:cs="Arial"/>
          <w:sz w:val="22"/>
        </w:rPr>
        <w:t>NACE International</w:t>
      </w:r>
      <w:r w:rsidR="004F0BA5">
        <w:rPr>
          <w:rFonts w:ascii="Arial" w:hAnsi="Arial" w:cs="Arial"/>
          <w:sz w:val="22"/>
        </w:rPr>
        <w:t>, Corrosion 1993, Paper 069, 1993</w:t>
      </w:r>
      <w:r w:rsidR="004F0BA5" w:rsidRPr="00973250">
        <w:rPr>
          <w:rFonts w:ascii="Arial" w:hAnsi="Arial" w:cs="Arial"/>
          <w:sz w:val="22"/>
        </w:rPr>
        <w:t>.</w:t>
      </w:r>
    </w:p>
    <w:p w:rsidR="004F0BA5" w:rsidRDefault="004F0BA5" w:rsidP="00032F94">
      <w:pPr>
        <w:pStyle w:val="EndnoteText"/>
        <w:spacing w:before="0" w:after="0"/>
        <w:ind w:left="360" w:firstLine="0"/>
        <w:jc w:val="both"/>
        <w:rPr>
          <w:rFonts w:ascii="Arial" w:hAnsi="Arial" w:cs="Arial"/>
          <w:sz w:val="22"/>
        </w:rPr>
      </w:pPr>
    </w:p>
    <w:p w:rsidR="004F0BA5"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Pr>
          <w:rFonts w:ascii="Arial" w:hAnsi="Arial" w:cs="Arial"/>
          <w:sz w:val="22"/>
        </w:rPr>
        <w:t xml:space="preserve">B.F.M. Pots, “Mechanistic models for the prediction of CO2 corrosion rates under multi-phase flow conditions”, </w:t>
      </w:r>
      <w:r w:rsidR="004F0BA5" w:rsidRPr="00032F94">
        <w:rPr>
          <w:rFonts w:ascii="Arial" w:hAnsi="Arial" w:cs="Arial"/>
          <w:sz w:val="22"/>
        </w:rPr>
        <w:t>NACE International</w:t>
      </w:r>
      <w:r w:rsidR="004F0BA5">
        <w:rPr>
          <w:rFonts w:ascii="Arial" w:hAnsi="Arial" w:cs="Arial"/>
          <w:sz w:val="22"/>
        </w:rPr>
        <w:t>, Corrosion 1995, Paper 137, 1995.</w:t>
      </w:r>
    </w:p>
    <w:p w:rsidR="00032F94" w:rsidRDefault="00032F94" w:rsidP="00032F94">
      <w:pPr>
        <w:pStyle w:val="EndnoteText"/>
        <w:spacing w:before="0" w:after="0"/>
        <w:ind w:left="360" w:firstLine="0"/>
        <w:jc w:val="both"/>
        <w:rPr>
          <w:rFonts w:ascii="Arial" w:hAnsi="Arial" w:cs="Arial"/>
          <w:sz w:val="22"/>
        </w:rPr>
      </w:pPr>
    </w:p>
    <w:p w:rsidR="004F0BA5"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Pr>
          <w:rFonts w:ascii="Arial" w:hAnsi="Arial" w:cs="Arial"/>
          <w:sz w:val="22"/>
        </w:rPr>
        <w:t xml:space="preserve">B.F.M. Pots, R.C. John, I.J. </w:t>
      </w:r>
      <w:r w:rsidR="004F0BA5" w:rsidRPr="001847B5">
        <w:rPr>
          <w:rFonts w:ascii="Arial" w:hAnsi="Arial" w:cs="Arial"/>
          <w:sz w:val="22"/>
        </w:rPr>
        <w:t>Rippon,</w:t>
      </w:r>
      <w:r w:rsidR="004F0BA5">
        <w:rPr>
          <w:rFonts w:ascii="Arial" w:hAnsi="Arial" w:cs="Arial"/>
          <w:sz w:val="22"/>
        </w:rPr>
        <w:t xml:space="preserve"> M.J.J. </w:t>
      </w:r>
      <w:r w:rsidR="004F0BA5" w:rsidRPr="001847B5">
        <w:rPr>
          <w:rFonts w:ascii="Arial" w:hAnsi="Arial" w:cs="Arial"/>
          <w:sz w:val="22"/>
        </w:rPr>
        <w:t xml:space="preserve">Simon Thomas, </w:t>
      </w:r>
      <w:r w:rsidR="004F0BA5">
        <w:rPr>
          <w:rFonts w:ascii="Arial" w:hAnsi="Arial" w:cs="Arial"/>
          <w:sz w:val="22"/>
        </w:rPr>
        <w:t xml:space="preserve">S.D. </w:t>
      </w:r>
      <w:r w:rsidR="004F0BA5" w:rsidRPr="001847B5">
        <w:rPr>
          <w:rFonts w:ascii="Arial" w:hAnsi="Arial" w:cs="Arial"/>
          <w:sz w:val="22"/>
        </w:rPr>
        <w:t>Kapusta</w:t>
      </w:r>
      <w:r w:rsidR="004F0BA5">
        <w:rPr>
          <w:rFonts w:ascii="Arial" w:hAnsi="Arial" w:cs="Arial"/>
          <w:sz w:val="22"/>
        </w:rPr>
        <w:t xml:space="preserve">, M.M </w:t>
      </w:r>
      <w:r w:rsidR="004F0BA5" w:rsidRPr="001847B5">
        <w:rPr>
          <w:rFonts w:ascii="Arial" w:hAnsi="Arial" w:cs="Arial"/>
          <w:sz w:val="22"/>
        </w:rPr>
        <w:t>Girgis</w:t>
      </w:r>
      <w:r w:rsidR="004F0BA5">
        <w:rPr>
          <w:rFonts w:ascii="Arial" w:hAnsi="Arial" w:cs="Arial"/>
          <w:sz w:val="22"/>
        </w:rPr>
        <w:t xml:space="preserve">, and T. </w:t>
      </w:r>
      <w:r w:rsidR="004F0BA5" w:rsidRPr="001847B5">
        <w:rPr>
          <w:rFonts w:ascii="Arial" w:hAnsi="Arial" w:cs="Arial"/>
          <w:sz w:val="22"/>
        </w:rPr>
        <w:t>Whitham</w:t>
      </w:r>
      <w:r w:rsidR="004F0BA5">
        <w:rPr>
          <w:rFonts w:ascii="Arial" w:hAnsi="Arial" w:cs="Arial"/>
          <w:sz w:val="22"/>
        </w:rPr>
        <w:t>, “</w:t>
      </w:r>
      <w:r w:rsidR="004F0BA5" w:rsidRPr="00FB0C72">
        <w:rPr>
          <w:rFonts w:ascii="Arial" w:hAnsi="Arial" w:cs="Arial"/>
          <w:sz w:val="22"/>
        </w:rPr>
        <w:t>I</w:t>
      </w:r>
      <w:r w:rsidR="004F0BA5">
        <w:rPr>
          <w:rFonts w:ascii="Arial" w:hAnsi="Arial" w:cs="Arial"/>
          <w:sz w:val="22"/>
        </w:rPr>
        <w:t>mprovements on de</w:t>
      </w:r>
      <w:r w:rsidR="004F0BA5" w:rsidRPr="00FB0C72">
        <w:rPr>
          <w:rFonts w:ascii="Arial" w:hAnsi="Arial" w:cs="Arial"/>
          <w:sz w:val="22"/>
        </w:rPr>
        <w:t xml:space="preserve"> W</w:t>
      </w:r>
      <w:r w:rsidR="004F0BA5">
        <w:rPr>
          <w:rFonts w:ascii="Arial" w:hAnsi="Arial" w:cs="Arial"/>
          <w:sz w:val="22"/>
        </w:rPr>
        <w:t>aard</w:t>
      </w:r>
      <w:r w:rsidR="004F0BA5" w:rsidRPr="00FB0C72">
        <w:rPr>
          <w:rFonts w:ascii="Arial" w:hAnsi="Arial" w:cs="Arial"/>
          <w:sz w:val="22"/>
        </w:rPr>
        <w:t>-M</w:t>
      </w:r>
      <w:r w:rsidR="004F0BA5">
        <w:rPr>
          <w:rFonts w:ascii="Arial" w:hAnsi="Arial" w:cs="Arial"/>
          <w:sz w:val="22"/>
        </w:rPr>
        <w:t>illiams</w:t>
      </w:r>
      <w:r w:rsidR="004F0BA5" w:rsidRPr="00FB0C72">
        <w:rPr>
          <w:rFonts w:ascii="Arial" w:hAnsi="Arial" w:cs="Arial"/>
          <w:sz w:val="22"/>
        </w:rPr>
        <w:t xml:space="preserve"> C</w:t>
      </w:r>
      <w:r w:rsidR="004F0BA5">
        <w:rPr>
          <w:rFonts w:ascii="Arial" w:hAnsi="Arial" w:cs="Arial"/>
          <w:sz w:val="22"/>
        </w:rPr>
        <w:t>orrosion</w:t>
      </w:r>
      <w:r w:rsidR="004F0BA5" w:rsidRPr="00FB0C72">
        <w:rPr>
          <w:rFonts w:ascii="Arial" w:hAnsi="Arial" w:cs="Arial"/>
          <w:sz w:val="22"/>
        </w:rPr>
        <w:t xml:space="preserve"> P</w:t>
      </w:r>
      <w:r w:rsidR="004F0BA5">
        <w:rPr>
          <w:rFonts w:ascii="Arial" w:hAnsi="Arial" w:cs="Arial"/>
          <w:sz w:val="22"/>
        </w:rPr>
        <w:t xml:space="preserve">rediction and </w:t>
      </w:r>
      <w:r w:rsidR="004F0BA5" w:rsidRPr="00FB0C72">
        <w:rPr>
          <w:rFonts w:ascii="Arial" w:hAnsi="Arial" w:cs="Arial"/>
          <w:sz w:val="22"/>
        </w:rPr>
        <w:t>A</w:t>
      </w:r>
      <w:r w:rsidR="004F0BA5">
        <w:rPr>
          <w:rFonts w:ascii="Arial" w:hAnsi="Arial" w:cs="Arial"/>
          <w:sz w:val="22"/>
        </w:rPr>
        <w:t xml:space="preserve">pplications to Corrosion Management”, </w:t>
      </w:r>
      <w:r w:rsidR="004F0BA5" w:rsidRPr="00032F94">
        <w:rPr>
          <w:rFonts w:ascii="Arial" w:hAnsi="Arial" w:cs="Arial"/>
          <w:sz w:val="22"/>
        </w:rPr>
        <w:t>NACE International</w:t>
      </w:r>
      <w:r w:rsidR="004F0BA5">
        <w:rPr>
          <w:rFonts w:ascii="Arial" w:hAnsi="Arial" w:cs="Arial"/>
          <w:sz w:val="22"/>
        </w:rPr>
        <w:t>, Corrosion 2002, Paper 02235, 2002.</w:t>
      </w:r>
    </w:p>
    <w:p w:rsidR="00032F94" w:rsidRDefault="00032F94" w:rsidP="00032F94">
      <w:pPr>
        <w:pStyle w:val="EndnoteText"/>
        <w:spacing w:before="0" w:after="0"/>
        <w:ind w:left="360" w:firstLine="0"/>
        <w:jc w:val="both"/>
        <w:rPr>
          <w:rFonts w:ascii="Arial" w:hAnsi="Arial" w:cs="Arial"/>
          <w:sz w:val="22"/>
        </w:rPr>
      </w:pPr>
    </w:p>
    <w:p w:rsidR="004F0BA5" w:rsidRDefault="00D27088" w:rsidP="00032F94">
      <w:pPr>
        <w:pStyle w:val="EndnoteText"/>
        <w:numPr>
          <w:ilvl w:val="0"/>
          <w:numId w:val="7"/>
        </w:numPr>
        <w:spacing w:before="0" w:after="0"/>
        <w:ind w:firstLine="0"/>
        <w:jc w:val="both"/>
        <w:rPr>
          <w:rFonts w:ascii="Arial" w:hAnsi="Arial" w:cs="Arial"/>
          <w:sz w:val="22"/>
        </w:rPr>
      </w:pPr>
      <w:r>
        <w:rPr>
          <w:rFonts w:ascii="Arial" w:hAnsi="Arial" w:cs="Arial"/>
          <w:sz w:val="22"/>
        </w:rPr>
        <w:t xml:space="preserve"> </w:t>
      </w:r>
      <w:r w:rsidR="004F0BA5">
        <w:rPr>
          <w:rFonts w:ascii="Arial" w:hAnsi="Arial" w:cs="Arial"/>
          <w:sz w:val="22"/>
        </w:rPr>
        <w:t xml:space="preserve">C. </w:t>
      </w:r>
      <w:r w:rsidR="004F0BA5" w:rsidRPr="00973250">
        <w:rPr>
          <w:rFonts w:ascii="Arial" w:hAnsi="Arial" w:cs="Arial"/>
          <w:sz w:val="22"/>
        </w:rPr>
        <w:t xml:space="preserve">De Waard, </w:t>
      </w:r>
      <w:r w:rsidR="004F0BA5">
        <w:rPr>
          <w:rFonts w:ascii="Arial" w:hAnsi="Arial" w:cs="Arial"/>
          <w:sz w:val="22"/>
        </w:rPr>
        <w:t>and D.E.</w:t>
      </w:r>
      <w:r w:rsidR="004F0BA5" w:rsidRPr="00973250">
        <w:rPr>
          <w:rFonts w:ascii="Arial" w:hAnsi="Arial" w:cs="Arial"/>
          <w:sz w:val="22"/>
        </w:rPr>
        <w:t xml:space="preserve"> Milliams, </w:t>
      </w:r>
      <w:r w:rsidR="004F0BA5">
        <w:rPr>
          <w:rFonts w:ascii="Arial" w:hAnsi="Arial" w:cs="Arial"/>
          <w:sz w:val="22"/>
        </w:rPr>
        <w:t>“</w:t>
      </w:r>
      <w:r w:rsidR="004F0BA5" w:rsidRPr="00973250">
        <w:rPr>
          <w:rFonts w:ascii="Arial" w:hAnsi="Arial" w:cs="Arial"/>
          <w:sz w:val="22"/>
        </w:rPr>
        <w:t>Carbonic acid corrosion of steel</w:t>
      </w:r>
      <w:r w:rsidR="004F0BA5">
        <w:rPr>
          <w:rFonts w:ascii="Arial" w:hAnsi="Arial" w:cs="Arial"/>
          <w:sz w:val="22"/>
        </w:rPr>
        <w:t>”,</w:t>
      </w:r>
      <w:r w:rsidR="004F0BA5" w:rsidRPr="00973250">
        <w:rPr>
          <w:rFonts w:ascii="Arial" w:hAnsi="Arial" w:cs="Arial"/>
          <w:sz w:val="22"/>
        </w:rPr>
        <w:t xml:space="preserve"> </w:t>
      </w:r>
      <w:r w:rsidR="004F0BA5">
        <w:rPr>
          <w:rFonts w:ascii="Arial" w:hAnsi="Arial" w:cs="Arial"/>
          <w:sz w:val="22"/>
        </w:rPr>
        <w:t xml:space="preserve">NACE </w:t>
      </w:r>
      <w:r w:rsidR="004F0BA5" w:rsidRPr="00032F94">
        <w:rPr>
          <w:rFonts w:ascii="Arial" w:hAnsi="Arial" w:cs="Arial"/>
          <w:sz w:val="22"/>
        </w:rPr>
        <w:t>Corrosion</w:t>
      </w:r>
      <w:r w:rsidR="004F0BA5" w:rsidRPr="00973250">
        <w:rPr>
          <w:rFonts w:ascii="Arial" w:hAnsi="Arial" w:cs="Arial"/>
          <w:sz w:val="22"/>
        </w:rPr>
        <w:t>,</w:t>
      </w:r>
      <w:r w:rsidR="004F0BA5">
        <w:rPr>
          <w:rFonts w:ascii="Arial" w:hAnsi="Arial" w:cs="Arial"/>
          <w:sz w:val="22"/>
        </w:rPr>
        <w:t xml:space="preserve"> Vol. 3</w:t>
      </w:r>
      <w:r w:rsidR="004F0BA5" w:rsidRPr="00973250">
        <w:rPr>
          <w:rFonts w:ascii="Arial" w:hAnsi="Arial" w:cs="Arial"/>
          <w:sz w:val="22"/>
        </w:rPr>
        <w:t>1, 177-181</w:t>
      </w:r>
      <w:r w:rsidR="004F0BA5">
        <w:rPr>
          <w:rFonts w:ascii="Arial" w:hAnsi="Arial" w:cs="Arial"/>
          <w:sz w:val="22"/>
        </w:rPr>
        <w:t>,</w:t>
      </w:r>
      <w:r w:rsidR="004F0BA5" w:rsidRPr="00207F95">
        <w:rPr>
          <w:rFonts w:ascii="Arial" w:hAnsi="Arial" w:cs="Arial"/>
          <w:sz w:val="22"/>
        </w:rPr>
        <w:t xml:space="preserve"> </w:t>
      </w:r>
      <w:r w:rsidR="004F0BA5" w:rsidRPr="00973250">
        <w:rPr>
          <w:rFonts w:ascii="Arial" w:hAnsi="Arial" w:cs="Arial"/>
          <w:sz w:val="22"/>
        </w:rPr>
        <w:t>1975</w:t>
      </w:r>
      <w:r w:rsidR="004F0BA5">
        <w:rPr>
          <w:rFonts w:ascii="Arial" w:hAnsi="Arial" w:cs="Arial"/>
          <w:sz w:val="22"/>
        </w:rPr>
        <w:t>.</w:t>
      </w:r>
    </w:p>
    <w:p w:rsidR="005818F0" w:rsidRPr="001D4B82" w:rsidRDefault="005818F0" w:rsidP="00032F94">
      <w:pPr>
        <w:jc w:val="both"/>
        <w:rPr>
          <w:rFonts w:ascii="Arial" w:hAnsi="Arial" w:cs="Arial"/>
          <w:sz w:val="22"/>
          <w:szCs w:val="22"/>
        </w:rPr>
      </w:pPr>
    </w:p>
    <w:sectPr w:rsidR="005818F0" w:rsidRPr="001D4B82" w:rsidSect="00701F72">
      <w:type w:val="continuous"/>
      <w:pgSz w:w="12240" w:h="15840"/>
      <w:pgMar w:top="72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0B6" w:rsidRDefault="00FE40B6">
      <w:r>
        <w:separator/>
      </w:r>
    </w:p>
  </w:endnote>
  <w:endnote w:type="continuationSeparator" w:id="0">
    <w:p w:rsidR="00FE40B6" w:rsidRDefault="00FE4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45 Light">
    <w:altName w:val="Century Gothic"/>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4D4" w:rsidRDefault="0089227B" w:rsidP="002F7320">
    <w:pPr>
      <w:pStyle w:val="Footer"/>
      <w:framePr w:wrap="around" w:vAnchor="text" w:hAnchor="margin" w:xAlign="center" w:y="1"/>
      <w:rPr>
        <w:rStyle w:val="PageNumber"/>
      </w:rPr>
    </w:pPr>
    <w:r>
      <w:rPr>
        <w:rStyle w:val="PageNumber"/>
      </w:rPr>
      <w:fldChar w:fldCharType="begin"/>
    </w:r>
    <w:r w:rsidR="00A934D4">
      <w:rPr>
        <w:rStyle w:val="PageNumber"/>
      </w:rPr>
      <w:instrText xml:space="preserve">PAGE  </w:instrText>
    </w:r>
    <w:r>
      <w:rPr>
        <w:rStyle w:val="PageNumber"/>
      </w:rPr>
      <w:fldChar w:fldCharType="separate"/>
    </w:r>
    <w:r w:rsidR="00A4588A">
      <w:rPr>
        <w:rStyle w:val="PageNumber"/>
        <w:noProof/>
      </w:rPr>
      <w:t>15</w:t>
    </w:r>
    <w:r>
      <w:rPr>
        <w:rStyle w:val="PageNumber"/>
      </w:rPr>
      <w:fldChar w:fldCharType="end"/>
    </w:r>
  </w:p>
  <w:p w:rsidR="00A934D4" w:rsidRDefault="00A934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4D4" w:rsidRDefault="00A934D4" w:rsidP="002F7320">
    <w:pPr>
      <w:pStyle w:val="Footer"/>
      <w:framePr w:wrap="around" w:vAnchor="text" w:hAnchor="margin" w:xAlign="center" w:y="1"/>
      <w:rPr>
        <w:rStyle w:val="PageNumber"/>
      </w:rPr>
    </w:pPr>
  </w:p>
  <w:p w:rsidR="00A934D4" w:rsidRDefault="00A934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0B6" w:rsidRDefault="00FE40B6">
      <w:r>
        <w:separator/>
      </w:r>
    </w:p>
  </w:footnote>
  <w:footnote w:type="continuationSeparator" w:id="0">
    <w:p w:rsidR="00FE40B6" w:rsidRDefault="00FE40B6">
      <w:r>
        <w:continuationSeparator/>
      </w:r>
    </w:p>
  </w:footnote>
  <w:footnote w:id="1">
    <w:p w:rsidR="009A5025" w:rsidRDefault="009A5025">
      <w:pPr>
        <w:pStyle w:val="FootnoteText"/>
      </w:pPr>
      <w:r>
        <w:rPr>
          <w:rStyle w:val="FootnoteReference"/>
        </w:rPr>
        <w:footnoteRef/>
      </w:r>
      <w:r>
        <w:t xml:space="preserve"> National Institute of Science and Technology, Washington, DC</w:t>
      </w:r>
    </w:p>
  </w:footnote>
  <w:footnote w:id="2">
    <w:p w:rsidR="00A4588A" w:rsidRPr="00A359B6" w:rsidRDefault="00DC78B1" w:rsidP="00A4588A">
      <w:pPr>
        <w:pStyle w:val="FootnoteText"/>
        <w:ind w:left="142" w:hanging="142"/>
        <w:jc w:val="both"/>
        <w:rPr>
          <w:rFonts w:ascii="Arial" w:hAnsi="Arial" w:cs="Arial"/>
        </w:rPr>
      </w:pPr>
      <w:r>
        <w:rPr>
          <w:rStyle w:val="FootnoteReference"/>
        </w:rPr>
        <w:footnoteRef/>
      </w:r>
      <w:r>
        <w:t xml:space="preserve"> </w:t>
      </w:r>
      <w:r w:rsidRPr="00E453E9">
        <w:rPr>
          <w:rFonts w:ascii="Arial" w:hAnsi="Arial" w:cs="Arial"/>
        </w:rPr>
        <w:t xml:space="preserve">Pressure for </w:t>
      </w:r>
      <w:r w:rsidRPr="008278C9">
        <w:rPr>
          <w:rFonts w:ascii="Arial" w:hAnsi="Arial" w:cs="Arial"/>
        </w:rPr>
        <w:t>fH</w:t>
      </w:r>
      <w:r w:rsidRPr="00A4588A">
        <w:rPr>
          <w:rFonts w:ascii="Arial" w:hAnsi="Arial" w:cs="Arial"/>
          <w:vertAlign w:val="subscript"/>
        </w:rPr>
        <w:t>2</w:t>
      </w:r>
      <w:r w:rsidRPr="008278C9">
        <w:rPr>
          <w:rFonts w:ascii="Arial" w:hAnsi="Arial" w:cs="Arial"/>
        </w:rPr>
        <w:t>S</w:t>
      </w:r>
      <w:r>
        <w:rPr>
          <w:rFonts w:ascii="Arial" w:hAnsi="Arial" w:cs="Arial"/>
        </w:rPr>
        <w:t xml:space="preserve"> calculated using </w:t>
      </w:r>
      <w:r w:rsidR="00A4588A">
        <w:rPr>
          <w:rFonts w:ascii="Arial" w:hAnsi="Arial" w:cs="Arial"/>
        </w:rPr>
        <w:t xml:space="preserve">proprietary cubic equation of state </w:t>
      </w:r>
    </w:p>
    <w:p w:rsidR="00DC78B1" w:rsidRPr="00A359B6" w:rsidRDefault="00DC78B1" w:rsidP="00DC78B1">
      <w:pPr>
        <w:pStyle w:val="FootnoteText"/>
        <w:jc w:val="both"/>
        <w:rPr>
          <w:rFonts w:ascii="Arial" w:hAnsi="Arial" w:cs="Arial"/>
        </w:rPr>
      </w:pPr>
      <w:r>
        <w:rPr>
          <w:rFonts w:ascii="Arial" w:hAnsi="Arial" w:cs="Arial"/>
        </w:rPr>
        <w:t>.</w:t>
      </w:r>
    </w:p>
  </w:footnote>
  <w:footnote w:id="3">
    <w:p w:rsidR="00DC78B1" w:rsidRPr="00A359B6" w:rsidRDefault="00DC78B1" w:rsidP="00DC78B1">
      <w:pPr>
        <w:pStyle w:val="FootnoteText"/>
        <w:ind w:left="142" w:hanging="142"/>
        <w:jc w:val="both"/>
        <w:rPr>
          <w:rFonts w:ascii="Arial" w:hAnsi="Arial" w:cs="Arial"/>
        </w:rPr>
      </w:pPr>
      <w:r>
        <w:rPr>
          <w:rStyle w:val="FootnoteReference"/>
        </w:rPr>
        <w:footnoteRef/>
      </w:r>
      <w:r>
        <w:t xml:space="preserve"> </w:t>
      </w:r>
      <w:r w:rsidRPr="008278C9">
        <w:rPr>
          <w:rFonts w:ascii="Arial" w:hAnsi="Arial" w:cs="Arial"/>
        </w:rPr>
        <w:t>Bu</w:t>
      </w:r>
      <w:r>
        <w:rPr>
          <w:rFonts w:ascii="Arial" w:hAnsi="Arial" w:cs="Arial"/>
        </w:rPr>
        <w:t>bble point pressure and pH</w:t>
      </w:r>
      <w:r w:rsidRPr="00A359B6">
        <w:rPr>
          <w:rFonts w:ascii="Arial" w:hAnsi="Arial" w:cs="Arial"/>
          <w:vertAlign w:val="subscript"/>
        </w:rPr>
        <w:t>2</w:t>
      </w:r>
      <w:r>
        <w:rPr>
          <w:rFonts w:ascii="Arial" w:hAnsi="Arial" w:cs="Arial"/>
        </w:rPr>
        <w:t xml:space="preserve">S at the bubble point as function of temperature calculated using a proprietary cubic equation of state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F4480392"/>
    <w:lvl w:ilvl="0">
      <w:start w:val="1"/>
      <w:numFmt w:val="decimal"/>
      <w:pStyle w:val="ListNumber"/>
      <w:lvlText w:val="%1."/>
      <w:lvlJc w:val="left"/>
      <w:pPr>
        <w:tabs>
          <w:tab w:val="num" w:pos="360"/>
        </w:tabs>
        <w:ind w:left="360" w:hanging="360"/>
      </w:pPr>
    </w:lvl>
  </w:abstractNum>
  <w:abstractNum w:abstractNumId="1">
    <w:nsid w:val="0DF35704"/>
    <w:multiLevelType w:val="hybridMultilevel"/>
    <w:tmpl w:val="F4A633E8"/>
    <w:lvl w:ilvl="0" w:tplc="577E137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8203536"/>
    <w:multiLevelType w:val="hybridMultilevel"/>
    <w:tmpl w:val="36B892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18BD3476"/>
    <w:multiLevelType w:val="hybridMultilevel"/>
    <w:tmpl w:val="FA76271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2EE13A5E"/>
    <w:multiLevelType w:val="hybridMultilevel"/>
    <w:tmpl w:val="0334382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C73D8C"/>
    <w:multiLevelType w:val="hybridMultilevel"/>
    <w:tmpl w:val="32741CDE"/>
    <w:lvl w:ilvl="0" w:tplc="0164B6AA">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331B414D"/>
    <w:multiLevelType w:val="hybridMultilevel"/>
    <w:tmpl w:val="CE6CC3F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5751148E"/>
    <w:multiLevelType w:val="hybridMultilevel"/>
    <w:tmpl w:val="7A1C25C0"/>
    <w:lvl w:ilvl="0" w:tplc="577E137C">
      <w:start w:val="1"/>
      <w:numFmt w:val="decimal"/>
      <w:lvlText w:val="%1."/>
      <w:lvlJc w:val="left"/>
      <w:pPr>
        <w:ind w:left="925" w:hanging="360"/>
      </w:pPr>
      <w:rPr>
        <w:rFonts w:hint="default"/>
      </w:rPr>
    </w:lvl>
    <w:lvl w:ilvl="1" w:tplc="04090019" w:tentative="1">
      <w:start w:val="1"/>
      <w:numFmt w:val="lowerLetter"/>
      <w:lvlText w:val="%2."/>
      <w:lvlJc w:val="left"/>
      <w:pPr>
        <w:ind w:left="2005" w:hanging="360"/>
      </w:pPr>
    </w:lvl>
    <w:lvl w:ilvl="2" w:tplc="0409001B" w:tentative="1">
      <w:start w:val="1"/>
      <w:numFmt w:val="lowerRoman"/>
      <w:lvlText w:val="%3."/>
      <w:lvlJc w:val="right"/>
      <w:pPr>
        <w:ind w:left="2725" w:hanging="180"/>
      </w:pPr>
    </w:lvl>
    <w:lvl w:ilvl="3" w:tplc="0409000F" w:tentative="1">
      <w:start w:val="1"/>
      <w:numFmt w:val="decimal"/>
      <w:lvlText w:val="%4."/>
      <w:lvlJc w:val="left"/>
      <w:pPr>
        <w:ind w:left="3445" w:hanging="360"/>
      </w:pPr>
    </w:lvl>
    <w:lvl w:ilvl="4" w:tplc="04090019" w:tentative="1">
      <w:start w:val="1"/>
      <w:numFmt w:val="lowerLetter"/>
      <w:lvlText w:val="%5."/>
      <w:lvlJc w:val="left"/>
      <w:pPr>
        <w:ind w:left="4165" w:hanging="360"/>
      </w:pPr>
    </w:lvl>
    <w:lvl w:ilvl="5" w:tplc="0409001B" w:tentative="1">
      <w:start w:val="1"/>
      <w:numFmt w:val="lowerRoman"/>
      <w:lvlText w:val="%6."/>
      <w:lvlJc w:val="right"/>
      <w:pPr>
        <w:ind w:left="4885" w:hanging="180"/>
      </w:pPr>
    </w:lvl>
    <w:lvl w:ilvl="6" w:tplc="0409000F" w:tentative="1">
      <w:start w:val="1"/>
      <w:numFmt w:val="decimal"/>
      <w:lvlText w:val="%7."/>
      <w:lvlJc w:val="left"/>
      <w:pPr>
        <w:ind w:left="5605" w:hanging="360"/>
      </w:pPr>
    </w:lvl>
    <w:lvl w:ilvl="7" w:tplc="04090019" w:tentative="1">
      <w:start w:val="1"/>
      <w:numFmt w:val="lowerLetter"/>
      <w:lvlText w:val="%8."/>
      <w:lvlJc w:val="left"/>
      <w:pPr>
        <w:ind w:left="6325" w:hanging="360"/>
      </w:pPr>
    </w:lvl>
    <w:lvl w:ilvl="8" w:tplc="0409001B" w:tentative="1">
      <w:start w:val="1"/>
      <w:numFmt w:val="lowerRoman"/>
      <w:lvlText w:val="%9."/>
      <w:lvlJc w:val="right"/>
      <w:pPr>
        <w:ind w:left="7045"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0F0"/>
    <w:rsid w:val="00032F94"/>
    <w:rsid w:val="000E63D2"/>
    <w:rsid w:val="00114EF3"/>
    <w:rsid w:val="00125F67"/>
    <w:rsid w:val="0015091C"/>
    <w:rsid w:val="00154BB6"/>
    <w:rsid w:val="00173AFD"/>
    <w:rsid w:val="00187536"/>
    <w:rsid w:val="001C4719"/>
    <w:rsid w:val="001D3F8C"/>
    <w:rsid w:val="001D4B82"/>
    <w:rsid w:val="001F36F1"/>
    <w:rsid w:val="00236A9B"/>
    <w:rsid w:val="0029238A"/>
    <w:rsid w:val="002C47C4"/>
    <w:rsid w:val="002D6E1C"/>
    <w:rsid w:val="002F7320"/>
    <w:rsid w:val="0032011B"/>
    <w:rsid w:val="00320519"/>
    <w:rsid w:val="00332EAA"/>
    <w:rsid w:val="00337D29"/>
    <w:rsid w:val="003A27B2"/>
    <w:rsid w:val="003A6E7B"/>
    <w:rsid w:val="003B2D35"/>
    <w:rsid w:val="003D55EC"/>
    <w:rsid w:val="003E5004"/>
    <w:rsid w:val="003F5DB3"/>
    <w:rsid w:val="00414AE6"/>
    <w:rsid w:val="004368AC"/>
    <w:rsid w:val="004533AE"/>
    <w:rsid w:val="004A37DE"/>
    <w:rsid w:val="004B1114"/>
    <w:rsid w:val="004B7BE8"/>
    <w:rsid w:val="004D77D8"/>
    <w:rsid w:val="004E0544"/>
    <w:rsid w:val="004F0BA5"/>
    <w:rsid w:val="005204E4"/>
    <w:rsid w:val="00532468"/>
    <w:rsid w:val="00542E1C"/>
    <w:rsid w:val="005818F0"/>
    <w:rsid w:val="00595826"/>
    <w:rsid w:val="005D7E2C"/>
    <w:rsid w:val="005E4432"/>
    <w:rsid w:val="005F6471"/>
    <w:rsid w:val="00616A67"/>
    <w:rsid w:val="006520F0"/>
    <w:rsid w:val="006711F1"/>
    <w:rsid w:val="006B69F0"/>
    <w:rsid w:val="006C5FAA"/>
    <w:rsid w:val="006E30A7"/>
    <w:rsid w:val="00701F72"/>
    <w:rsid w:val="0073405C"/>
    <w:rsid w:val="0073441D"/>
    <w:rsid w:val="00765F43"/>
    <w:rsid w:val="007664C8"/>
    <w:rsid w:val="00767D1B"/>
    <w:rsid w:val="0077280E"/>
    <w:rsid w:val="007D1E54"/>
    <w:rsid w:val="0082668E"/>
    <w:rsid w:val="00831618"/>
    <w:rsid w:val="00872327"/>
    <w:rsid w:val="0089227B"/>
    <w:rsid w:val="008C17E1"/>
    <w:rsid w:val="008D4596"/>
    <w:rsid w:val="009377BD"/>
    <w:rsid w:val="00970FE5"/>
    <w:rsid w:val="00980AE6"/>
    <w:rsid w:val="00986260"/>
    <w:rsid w:val="00992FAA"/>
    <w:rsid w:val="009A5025"/>
    <w:rsid w:val="009A71CA"/>
    <w:rsid w:val="009B5884"/>
    <w:rsid w:val="009F701B"/>
    <w:rsid w:val="00A30E50"/>
    <w:rsid w:val="00A4588A"/>
    <w:rsid w:val="00A606E9"/>
    <w:rsid w:val="00A836E1"/>
    <w:rsid w:val="00A86FC7"/>
    <w:rsid w:val="00A934D4"/>
    <w:rsid w:val="00AB6AB8"/>
    <w:rsid w:val="00B36209"/>
    <w:rsid w:val="00B434C1"/>
    <w:rsid w:val="00B83D56"/>
    <w:rsid w:val="00B9288E"/>
    <w:rsid w:val="00B94D21"/>
    <w:rsid w:val="00BA5923"/>
    <w:rsid w:val="00BD624E"/>
    <w:rsid w:val="00C60F6A"/>
    <w:rsid w:val="00C613A3"/>
    <w:rsid w:val="00C61B95"/>
    <w:rsid w:val="00CE0D6B"/>
    <w:rsid w:val="00CF0D4A"/>
    <w:rsid w:val="00D27088"/>
    <w:rsid w:val="00DC78B1"/>
    <w:rsid w:val="00DF2927"/>
    <w:rsid w:val="00E307B9"/>
    <w:rsid w:val="00E46618"/>
    <w:rsid w:val="00ED2B2F"/>
    <w:rsid w:val="00F4524E"/>
    <w:rsid w:val="00F54018"/>
    <w:rsid w:val="00F92422"/>
    <w:rsid w:val="00FD11EF"/>
    <w:rsid w:val="00FE40B6"/>
    <w:rsid w:val="00FF2E56"/>
    <w:rsid w:val="00FF7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List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4719"/>
    <w:rPr>
      <w:sz w:val="24"/>
      <w:szCs w:val="24"/>
    </w:rPr>
  </w:style>
  <w:style w:type="paragraph" w:styleId="Heading3">
    <w:name w:val="heading 3"/>
    <w:basedOn w:val="Normal"/>
    <w:next w:val="Normal"/>
    <w:qFormat/>
    <w:rsid w:val="009F701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52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01F72"/>
    <w:pPr>
      <w:tabs>
        <w:tab w:val="center" w:pos="4320"/>
        <w:tab w:val="right" w:pos="8640"/>
      </w:tabs>
    </w:pPr>
  </w:style>
  <w:style w:type="paragraph" w:styleId="Footer">
    <w:name w:val="footer"/>
    <w:basedOn w:val="Normal"/>
    <w:rsid w:val="00701F72"/>
    <w:pPr>
      <w:tabs>
        <w:tab w:val="center" w:pos="4320"/>
        <w:tab w:val="right" w:pos="8640"/>
      </w:tabs>
    </w:pPr>
  </w:style>
  <w:style w:type="character" w:styleId="PageNumber">
    <w:name w:val="page number"/>
    <w:basedOn w:val="DefaultParagraphFont"/>
    <w:rsid w:val="00701F72"/>
  </w:style>
  <w:style w:type="paragraph" w:styleId="FootnoteText">
    <w:name w:val="footnote text"/>
    <w:basedOn w:val="Normal"/>
    <w:link w:val="FootnoteTextChar"/>
    <w:rsid w:val="001D4B82"/>
    <w:rPr>
      <w:sz w:val="20"/>
      <w:szCs w:val="20"/>
    </w:rPr>
  </w:style>
  <w:style w:type="character" w:customStyle="1" w:styleId="FootnoteTextChar">
    <w:name w:val="Footnote Text Char"/>
    <w:basedOn w:val="DefaultParagraphFont"/>
    <w:link w:val="FootnoteText"/>
    <w:rsid w:val="001D4B82"/>
  </w:style>
  <w:style w:type="character" w:styleId="FootnoteReference">
    <w:name w:val="footnote reference"/>
    <w:basedOn w:val="DefaultParagraphFont"/>
    <w:rsid w:val="001D4B82"/>
    <w:rPr>
      <w:vertAlign w:val="superscript"/>
    </w:rPr>
  </w:style>
  <w:style w:type="character" w:styleId="Hyperlink">
    <w:name w:val="Hyperlink"/>
    <w:basedOn w:val="DefaultParagraphFont"/>
    <w:rsid w:val="001D4B82"/>
    <w:rPr>
      <w:color w:val="0000FF"/>
      <w:u w:val="single"/>
    </w:rPr>
  </w:style>
  <w:style w:type="character" w:styleId="FollowedHyperlink">
    <w:name w:val="FollowedHyperlink"/>
    <w:basedOn w:val="DefaultParagraphFont"/>
    <w:rsid w:val="00BA5923"/>
    <w:rPr>
      <w:color w:val="800080"/>
      <w:u w:val="single"/>
    </w:rPr>
  </w:style>
  <w:style w:type="paragraph" w:styleId="EndnoteText">
    <w:name w:val="endnote text"/>
    <w:aliases w:val="Lit"/>
    <w:basedOn w:val="Normal"/>
    <w:link w:val="EndnoteTextChar"/>
    <w:rsid w:val="004F0BA5"/>
    <w:pPr>
      <w:tabs>
        <w:tab w:val="left" w:pos="567"/>
      </w:tabs>
      <w:spacing w:before="120" w:after="120" w:line="280" w:lineRule="exact"/>
      <w:ind w:left="567" w:hanging="567"/>
    </w:pPr>
    <w:rPr>
      <w:rFonts w:ascii="Frutiger 45 Light" w:hAnsi="Frutiger 45 Light"/>
      <w:sz w:val="20"/>
      <w:szCs w:val="20"/>
      <w:lang w:eastAsia="de-DE"/>
    </w:rPr>
  </w:style>
  <w:style w:type="character" w:customStyle="1" w:styleId="EndnoteTextChar">
    <w:name w:val="Endnote Text Char"/>
    <w:aliases w:val="Lit Char"/>
    <w:basedOn w:val="DefaultParagraphFont"/>
    <w:link w:val="EndnoteText"/>
    <w:rsid w:val="004F0BA5"/>
    <w:rPr>
      <w:rFonts w:ascii="Frutiger 45 Light" w:hAnsi="Frutiger 45 Light"/>
      <w:lang w:eastAsia="de-DE"/>
    </w:rPr>
  </w:style>
  <w:style w:type="paragraph" w:customStyle="1" w:styleId="BU">
    <w:name w:val="BU"/>
    <w:basedOn w:val="Normal"/>
    <w:rsid w:val="004F0BA5"/>
    <w:pPr>
      <w:spacing w:before="120" w:line="240" w:lineRule="exact"/>
    </w:pPr>
    <w:rPr>
      <w:sz w:val="20"/>
      <w:szCs w:val="20"/>
      <w:lang w:eastAsia="de-DE"/>
    </w:rPr>
  </w:style>
  <w:style w:type="paragraph" w:customStyle="1" w:styleId="Affiliation">
    <w:name w:val="Affiliation"/>
    <w:basedOn w:val="Normal"/>
    <w:rsid w:val="004F0BA5"/>
    <w:pPr>
      <w:spacing w:line="288" w:lineRule="exact"/>
    </w:pPr>
    <w:rPr>
      <w:sz w:val="20"/>
      <w:szCs w:val="20"/>
      <w:lang w:eastAsia="de-DE"/>
    </w:rPr>
  </w:style>
  <w:style w:type="paragraph" w:customStyle="1" w:styleId="Flienach">
    <w:name w:val="Fließ_nach_Ü"/>
    <w:basedOn w:val="Normal"/>
    <w:rsid w:val="004F0BA5"/>
    <w:pPr>
      <w:spacing w:line="288" w:lineRule="exact"/>
      <w:jc w:val="both"/>
    </w:pPr>
    <w:rPr>
      <w:szCs w:val="20"/>
      <w:lang w:eastAsia="de-DE"/>
    </w:rPr>
  </w:style>
  <w:style w:type="paragraph" w:customStyle="1" w:styleId="1Einleit">
    <w:name w:val="Ü1_Einleit"/>
    <w:basedOn w:val="Normal"/>
    <w:rsid w:val="004F0BA5"/>
    <w:pPr>
      <w:keepNext/>
      <w:tabs>
        <w:tab w:val="left" w:pos="567"/>
      </w:tabs>
      <w:spacing w:before="960" w:after="340" w:line="340" w:lineRule="exact"/>
    </w:pPr>
    <w:rPr>
      <w:b/>
      <w:sz w:val="28"/>
      <w:szCs w:val="20"/>
      <w:lang w:eastAsia="de-DE"/>
    </w:rPr>
  </w:style>
  <w:style w:type="paragraph" w:styleId="ListParagraph">
    <w:name w:val="List Paragraph"/>
    <w:basedOn w:val="Normal"/>
    <w:uiPriority w:val="34"/>
    <w:qFormat/>
    <w:rsid w:val="004F0BA5"/>
    <w:pPr>
      <w:ind w:left="720"/>
      <w:contextualSpacing/>
    </w:pPr>
    <w:rPr>
      <w:szCs w:val="20"/>
      <w:lang w:eastAsia="de-DE"/>
    </w:rPr>
  </w:style>
  <w:style w:type="paragraph" w:styleId="ListNumber">
    <w:name w:val="List Number"/>
    <w:basedOn w:val="Normal"/>
    <w:uiPriority w:val="99"/>
    <w:unhideWhenUsed/>
    <w:rsid w:val="00332EAA"/>
    <w:pPr>
      <w:numPr>
        <w:numId w:val="4"/>
      </w:numPr>
      <w:contextualSpacing/>
    </w:pPr>
    <w:rPr>
      <w:szCs w:val="20"/>
      <w:lang w:eastAsia="de-DE"/>
    </w:rPr>
  </w:style>
  <w:style w:type="paragraph" w:styleId="Caption">
    <w:name w:val="caption"/>
    <w:basedOn w:val="Normal"/>
    <w:next w:val="Normal"/>
    <w:uiPriority w:val="35"/>
    <w:qFormat/>
    <w:rsid w:val="00DC78B1"/>
    <w:pPr>
      <w:spacing w:before="120" w:after="120"/>
    </w:pPr>
    <w:rPr>
      <w:rFonts w:ascii="Arial" w:hAnsi="Arial"/>
      <w:bCs/>
      <w:sz w:val="26"/>
      <w:szCs w:val="20"/>
      <w:lang w:eastAsia="de-DE"/>
    </w:rPr>
  </w:style>
  <w:style w:type="paragraph" w:customStyle="1" w:styleId="2">
    <w:name w:val="Ü 2"/>
    <w:basedOn w:val="Normal"/>
    <w:next w:val="Normal"/>
    <w:rsid w:val="00DC78B1"/>
    <w:pPr>
      <w:keepNext/>
      <w:tabs>
        <w:tab w:val="left" w:pos="567"/>
      </w:tabs>
      <w:spacing w:before="288" w:after="144" w:line="288" w:lineRule="exact"/>
    </w:pPr>
    <w:rPr>
      <w:b/>
      <w:szCs w:val="20"/>
      <w:lang w:eastAsia="de-DE"/>
    </w:rPr>
  </w:style>
  <w:style w:type="paragraph" w:customStyle="1" w:styleId="1">
    <w:name w:val="Ü 1"/>
    <w:basedOn w:val="Normal"/>
    <w:next w:val="Normal"/>
    <w:rsid w:val="00DC78B1"/>
    <w:pPr>
      <w:keepNext/>
      <w:tabs>
        <w:tab w:val="left" w:pos="567"/>
      </w:tabs>
      <w:spacing w:before="680" w:after="340" w:line="340" w:lineRule="exact"/>
    </w:pPr>
    <w:rPr>
      <w:b/>
      <w:sz w:val="28"/>
      <w:szCs w:val="20"/>
      <w:lang w:eastAsia="de-DE"/>
    </w:rPr>
  </w:style>
  <w:style w:type="paragraph" w:styleId="BalloonText">
    <w:name w:val="Balloon Text"/>
    <w:basedOn w:val="Normal"/>
    <w:link w:val="BalloonTextChar"/>
    <w:rsid w:val="00A4588A"/>
    <w:rPr>
      <w:rFonts w:ascii="Tahoma" w:hAnsi="Tahoma" w:cs="Tahoma"/>
      <w:sz w:val="16"/>
      <w:szCs w:val="16"/>
    </w:rPr>
  </w:style>
  <w:style w:type="character" w:customStyle="1" w:styleId="BalloonTextChar">
    <w:name w:val="Balloon Text Char"/>
    <w:basedOn w:val="DefaultParagraphFont"/>
    <w:link w:val="BalloonText"/>
    <w:rsid w:val="00A4588A"/>
    <w:rPr>
      <w:rFonts w:ascii="Tahoma" w:hAnsi="Tahoma" w:cs="Tahoma"/>
      <w:sz w:val="16"/>
      <w:szCs w:val="16"/>
    </w:rPr>
  </w:style>
  <w:style w:type="character" w:styleId="EndnoteReference">
    <w:name w:val="endnote reference"/>
    <w:basedOn w:val="DefaultParagraphFont"/>
    <w:rsid w:val="009A502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List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4719"/>
    <w:rPr>
      <w:sz w:val="24"/>
      <w:szCs w:val="24"/>
    </w:rPr>
  </w:style>
  <w:style w:type="paragraph" w:styleId="Heading3">
    <w:name w:val="heading 3"/>
    <w:basedOn w:val="Normal"/>
    <w:next w:val="Normal"/>
    <w:qFormat/>
    <w:rsid w:val="009F701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52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01F72"/>
    <w:pPr>
      <w:tabs>
        <w:tab w:val="center" w:pos="4320"/>
        <w:tab w:val="right" w:pos="8640"/>
      </w:tabs>
    </w:pPr>
  </w:style>
  <w:style w:type="paragraph" w:styleId="Footer">
    <w:name w:val="footer"/>
    <w:basedOn w:val="Normal"/>
    <w:rsid w:val="00701F72"/>
    <w:pPr>
      <w:tabs>
        <w:tab w:val="center" w:pos="4320"/>
        <w:tab w:val="right" w:pos="8640"/>
      </w:tabs>
    </w:pPr>
  </w:style>
  <w:style w:type="character" w:styleId="PageNumber">
    <w:name w:val="page number"/>
    <w:basedOn w:val="DefaultParagraphFont"/>
    <w:rsid w:val="00701F72"/>
  </w:style>
  <w:style w:type="paragraph" w:styleId="FootnoteText">
    <w:name w:val="footnote text"/>
    <w:basedOn w:val="Normal"/>
    <w:link w:val="FootnoteTextChar"/>
    <w:rsid w:val="001D4B82"/>
    <w:rPr>
      <w:sz w:val="20"/>
      <w:szCs w:val="20"/>
    </w:rPr>
  </w:style>
  <w:style w:type="character" w:customStyle="1" w:styleId="FootnoteTextChar">
    <w:name w:val="Footnote Text Char"/>
    <w:basedOn w:val="DefaultParagraphFont"/>
    <w:link w:val="FootnoteText"/>
    <w:rsid w:val="001D4B82"/>
  </w:style>
  <w:style w:type="character" w:styleId="FootnoteReference">
    <w:name w:val="footnote reference"/>
    <w:basedOn w:val="DefaultParagraphFont"/>
    <w:rsid w:val="001D4B82"/>
    <w:rPr>
      <w:vertAlign w:val="superscript"/>
    </w:rPr>
  </w:style>
  <w:style w:type="character" w:styleId="Hyperlink">
    <w:name w:val="Hyperlink"/>
    <w:basedOn w:val="DefaultParagraphFont"/>
    <w:rsid w:val="001D4B82"/>
    <w:rPr>
      <w:color w:val="0000FF"/>
      <w:u w:val="single"/>
    </w:rPr>
  </w:style>
  <w:style w:type="character" w:styleId="FollowedHyperlink">
    <w:name w:val="FollowedHyperlink"/>
    <w:basedOn w:val="DefaultParagraphFont"/>
    <w:rsid w:val="00BA5923"/>
    <w:rPr>
      <w:color w:val="800080"/>
      <w:u w:val="single"/>
    </w:rPr>
  </w:style>
  <w:style w:type="paragraph" w:styleId="EndnoteText">
    <w:name w:val="endnote text"/>
    <w:aliases w:val="Lit"/>
    <w:basedOn w:val="Normal"/>
    <w:link w:val="EndnoteTextChar"/>
    <w:rsid w:val="004F0BA5"/>
    <w:pPr>
      <w:tabs>
        <w:tab w:val="left" w:pos="567"/>
      </w:tabs>
      <w:spacing w:before="120" w:after="120" w:line="280" w:lineRule="exact"/>
      <w:ind w:left="567" w:hanging="567"/>
    </w:pPr>
    <w:rPr>
      <w:rFonts w:ascii="Frutiger 45 Light" w:hAnsi="Frutiger 45 Light"/>
      <w:sz w:val="20"/>
      <w:szCs w:val="20"/>
      <w:lang w:eastAsia="de-DE"/>
    </w:rPr>
  </w:style>
  <w:style w:type="character" w:customStyle="1" w:styleId="EndnoteTextChar">
    <w:name w:val="Endnote Text Char"/>
    <w:aliases w:val="Lit Char"/>
    <w:basedOn w:val="DefaultParagraphFont"/>
    <w:link w:val="EndnoteText"/>
    <w:rsid w:val="004F0BA5"/>
    <w:rPr>
      <w:rFonts w:ascii="Frutiger 45 Light" w:hAnsi="Frutiger 45 Light"/>
      <w:lang w:eastAsia="de-DE"/>
    </w:rPr>
  </w:style>
  <w:style w:type="paragraph" w:customStyle="1" w:styleId="BU">
    <w:name w:val="BU"/>
    <w:basedOn w:val="Normal"/>
    <w:rsid w:val="004F0BA5"/>
    <w:pPr>
      <w:spacing w:before="120" w:line="240" w:lineRule="exact"/>
    </w:pPr>
    <w:rPr>
      <w:sz w:val="20"/>
      <w:szCs w:val="20"/>
      <w:lang w:eastAsia="de-DE"/>
    </w:rPr>
  </w:style>
  <w:style w:type="paragraph" w:customStyle="1" w:styleId="Affiliation">
    <w:name w:val="Affiliation"/>
    <w:basedOn w:val="Normal"/>
    <w:rsid w:val="004F0BA5"/>
    <w:pPr>
      <w:spacing w:line="288" w:lineRule="exact"/>
    </w:pPr>
    <w:rPr>
      <w:sz w:val="20"/>
      <w:szCs w:val="20"/>
      <w:lang w:eastAsia="de-DE"/>
    </w:rPr>
  </w:style>
  <w:style w:type="paragraph" w:customStyle="1" w:styleId="Flienach">
    <w:name w:val="Fließ_nach_Ü"/>
    <w:basedOn w:val="Normal"/>
    <w:rsid w:val="004F0BA5"/>
    <w:pPr>
      <w:spacing w:line="288" w:lineRule="exact"/>
      <w:jc w:val="both"/>
    </w:pPr>
    <w:rPr>
      <w:szCs w:val="20"/>
      <w:lang w:eastAsia="de-DE"/>
    </w:rPr>
  </w:style>
  <w:style w:type="paragraph" w:customStyle="1" w:styleId="1Einleit">
    <w:name w:val="Ü1_Einleit"/>
    <w:basedOn w:val="Normal"/>
    <w:rsid w:val="004F0BA5"/>
    <w:pPr>
      <w:keepNext/>
      <w:tabs>
        <w:tab w:val="left" w:pos="567"/>
      </w:tabs>
      <w:spacing w:before="960" w:after="340" w:line="340" w:lineRule="exact"/>
    </w:pPr>
    <w:rPr>
      <w:b/>
      <w:sz w:val="28"/>
      <w:szCs w:val="20"/>
      <w:lang w:eastAsia="de-DE"/>
    </w:rPr>
  </w:style>
  <w:style w:type="paragraph" w:styleId="ListParagraph">
    <w:name w:val="List Paragraph"/>
    <w:basedOn w:val="Normal"/>
    <w:uiPriority w:val="34"/>
    <w:qFormat/>
    <w:rsid w:val="004F0BA5"/>
    <w:pPr>
      <w:ind w:left="720"/>
      <w:contextualSpacing/>
    </w:pPr>
    <w:rPr>
      <w:szCs w:val="20"/>
      <w:lang w:eastAsia="de-DE"/>
    </w:rPr>
  </w:style>
  <w:style w:type="paragraph" w:styleId="ListNumber">
    <w:name w:val="List Number"/>
    <w:basedOn w:val="Normal"/>
    <w:uiPriority w:val="99"/>
    <w:unhideWhenUsed/>
    <w:rsid w:val="00332EAA"/>
    <w:pPr>
      <w:numPr>
        <w:numId w:val="4"/>
      </w:numPr>
      <w:contextualSpacing/>
    </w:pPr>
    <w:rPr>
      <w:szCs w:val="20"/>
      <w:lang w:eastAsia="de-DE"/>
    </w:rPr>
  </w:style>
  <w:style w:type="paragraph" w:styleId="Caption">
    <w:name w:val="caption"/>
    <w:basedOn w:val="Normal"/>
    <w:next w:val="Normal"/>
    <w:uiPriority w:val="35"/>
    <w:qFormat/>
    <w:rsid w:val="00DC78B1"/>
    <w:pPr>
      <w:spacing w:before="120" w:after="120"/>
    </w:pPr>
    <w:rPr>
      <w:rFonts w:ascii="Arial" w:hAnsi="Arial"/>
      <w:bCs/>
      <w:sz w:val="26"/>
      <w:szCs w:val="20"/>
      <w:lang w:eastAsia="de-DE"/>
    </w:rPr>
  </w:style>
  <w:style w:type="paragraph" w:customStyle="1" w:styleId="2">
    <w:name w:val="Ü 2"/>
    <w:basedOn w:val="Normal"/>
    <w:next w:val="Normal"/>
    <w:rsid w:val="00DC78B1"/>
    <w:pPr>
      <w:keepNext/>
      <w:tabs>
        <w:tab w:val="left" w:pos="567"/>
      </w:tabs>
      <w:spacing w:before="288" w:after="144" w:line="288" w:lineRule="exact"/>
    </w:pPr>
    <w:rPr>
      <w:b/>
      <w:szCs w:val="20"/>
      <w:lang w:eastAsia="de-DE"/>
    </w:rPr>
  </w:style>
  <w:style w:type="paragraph" w:customStyle="1" w:styleId="1">
    <w:name w:val="Ü 1"/>
    <w:basedOn w:val="Normal"/>
    <w:next w:val="Normal"/>
    <w:rsid w:val="00DC78B1"/>
    <w:pPr>
      <w:keepNext/>
      <w:tabs>
        <w:tab w:val="left" w:pos="567"/>
      </w:tabs>
      <w:spacing w:before="680" w:after="340" w:line="340" w:lineRule="exact"/>
    </w:pPr>
    <w:rPr>
      <w:b/>
      <w:sz w:val="28"/>
      <w:szCs w:val="20"/>
      <w:lang w:eastAsia="de-DE"/>
    </w:rPr>
  </w:style>
  <w:style w:type="paragraph" w:styleId="BalloonText">
    <w:name w:val="Balloon Text"/>
    <w:basedOn w:val="Normal"/>
    <w:link w:val="BalloonTextChar"/>
    <w:rsid w:val="00A4588A"/>
    <w:rPr>
      <w:rFonts w:ascii="Tahoma" w:hAnsi="Tahoma" w:cs="Tahoma"/>
      <w:sz w:val="16"/>
      <w:szCs w:val="16"/>
    </w:rPr>
  </w:style>
  <w:style w:type="character" w:customStyle="1" w:styleId="BalloonTextChar">
    <w:name w:val="Balloon Text Char"/>
    <w:basedOn w:val="DefaultParagraphFont"/>
    <w:link w:val="BalloonText"/>
    <w:rsid w:val="00A4588A"/>
    <w:rPr>
      <w:rFonts w:ascii="Tahoma" w:hAnsi="Tahoma" w:cs="Tahoma"/>
      <w:sz w:val="16"/>
      <w:szCs w:val="16"/>
    </w:rPr>
  </w:style>
  <w:style w:type="character" w:styleId="EndnoteReference">
    <w:name w:val="endnote reference"/>
    <w:basedOn w:val="DefaultParagraphFont"/>
    <w:rsid w:val="009A50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7.emf"/><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wmf"/><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image" Target="media/image9.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3.emf"/><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2.emf"/><Relationship Id="rId28" Type="http://schemas.openxmlformats.org/officeDocument/2006/relationships/image" Target="media/image17.png"/><Relationship Id="rId10" Type="http://schemas.openxmlformats.org/officeDocument/2006/relationships/footer" Target="footer2.xml"/><Relationship Id="rId19" Type="http://schemas.openxmlformats.org/officeDocument/2006/relationships/image" Target="media/image8.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1.emf"/><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C1A94-4C5F-4585-9ACC-3A37CBB25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4121</Words>
  <Characters>23490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NACE INTERNATIONAL</Company>
  <LinksUpToDate>false</LinksUpToDate>
  <CharactersWithSpaces>27556</CharactersWithSpaces>
  <SharedDoc>false</SharedDoc>
  <HLinks>
    <vt:vector size="12" baseType="variant">
      <vt:variant>
        <vt:i4>7274593</vt:i4>
      </vt:variant>
      <vt:variant>
        <vt:i4>80</vt:i4>
      </vt:variant>
      <vt:variant>
        <vt:i4>0</vt:i4>
      </vt:variant>
      <vt:variant>
        <vt:i4>5</vt:i4>
      </vt:variant>
      <vt:variant>
        <vt:lpwstr>http://events.nace.org/technical/s-r/StyleGuideall.pdf</vt:lpwstr>
      </vt:variant>
      <vt:variant>
        <vt:lpwstr/>
      </vt:variant>
      <vt:variant>
        <vt:i4>458775</vt:i4>
      </vt:variant>
      <vt:variant>
        <vt:i4>77</vt:i4>
      </vt:variant>
      <vt:variant>
        <vt:i4>0</vt:i4>
      </vt:variant>
      <vt:variant>
        <vt:i4>5</vt:i4>
      </vt:variant>
      <vt:variant>
        <vt:lpwstr>http://www.nytimes.com/specials/downsize/03down1.html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Janki Pandya</cp:lastModifiedBy>
  <cp:revision>2</cp:revision>
  <cp:lastPrinted>2013-11-25T20:44:00Z</cp:lastPrinted>
  <dcterms:created xsi:type="dcterms:W3CDTF">2014-06-30T15:32:00Z</dcterms:created>
  <dcterms:modified xsi:type="dcterms:W3CDTF">2014-06-30T15:32:00Z</dcterms:modified>
</cp:coreProperties>
</file>