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rsidR="00F85E46" w:rsidRPr="0007080C" w:rsidRDefault="00F85E46" w:rsidP="0007080C">
      <w:pPr>
        <w:spacing w:before="100" w:beforeAutospacing="1" w:after="100" w:afterAutospacing="1" w:line="240" w:lineRule="auto"/>
        <w:outlineLvl w:val="5"/>
        <w:rPr>
          <w:rFonts w:ascii="Times New Roman" w:eastAsia="Times New Roman" w:hAnsi="Times New Roman" w:cs="Times New Roman"/>
          <w:b/>
          <w:bCs/>
          <w:sz w:val="20"/>
          <w:szCs w:val="20"/>
        </w:rPr>
      </w:pPr>
      <w:r w:rsidRPr="00F85E46">
        <w:rPr>
          <w:rFonts w:ascii="Times New Roman" w:eastAsia="Times New Roman" w:hAnsi="Times New Roman" w:cs="Times New Roman"/>
          <w:b/>
          <w:bCs/>
          <w:sz w:val="20"/>
          <w:szCs w:val="20"/>
        </w:rPr>
        <w:fldChar w:fldCharType="begin"/>
      </w:r>
      <w:r w:rsidRPr="00F85E46">
        <w:rPr>
          <w:rFonts w:ascii="Times New Roman" w:eastAsia="Times New Roman" w:hAnsi="Times New Roman" w:cs="Times New Roman"/>
          <w:b/>
          <w:bCs/>
          <w:sz w:val="20"/>
          <w:szCs w:val="20"/>
        </w:rPr>
        <w:instrText xml:space="preserve"> HYPERLINK "http://mrsspring14.zerista.com/event/member/109067" </w:instrText>
      </w:r>
      <w:r w:rsidRPr="00F85E46">
        <w:rPr>
          <w:rFonts w:ascii="Times New Roman" w:eastAsia="Times New Roman" w:hAnsi="Times New Roman" w:cs="Times New Roman"/>
          <w:b/>
          <w:bCs/>
          <w:sz w:val="20"/>
          <w:szCs w:val="20"/>
        </w:rPr>
        <w:fldChar w:fldCharType="separate"/>
      </w:r>
      <w:r w:rsidRPr="0007080C">
        <w:rPr>
          <w:rFonts w:ascii="Times New Roman" w:eastAsia="Times New Roman" w:hAnsi="Times New Roman" w:cs="Times New Roman"/>
          <w:b/>
          <w:bCs/>
          <w:sz w:val="20"/>
          <w:szCs w:val="20"/>
        </w:rPr>
        <w:t xml:space="preserve">Facile Synthesis of Strongly Coupled Carbon </w:t>
      </w:r>
      <w:proofErr w:type="spellStart"/>
      <w:r w:rsidRPr="0007080C">
        <w:rPr>
          <w:rFonts w:ascii="Times New Roman" w:eastAsia="Times New Roman" w:hAnsi="Times New Roman" w:cs="Times New Roman"/>
          <w:b/>
          <w:bCs/>
          <w:sz w:val="20"/>
          <w:szCs w:val="20"/>
        </w:rPr>
        <w:t>Nanofiber</w:t>
      </w:r>
      <w:proofErr w:type="spellEnd"/>
      <w:r w:rsidRPr="0007080C">
        <w:rPr>
          <w:rFonts w:ascii="Times New Roman" w:eastAsia="Times New Roman" w:hAnsi="Times New Roman" w:cs="Times New Roman"/>
          <w:b/>
          <w:bCs/>
          <w:sz w:val="20"/>
          <w:szCs w:val="20"/>
        </w:rPr>
        <w:t xml:space="preserve">-Metal Oxide Coaxial </w:t>
      </w:r>
      <w:proofErr w:type="spellStart"/>
      <w:r w:rsidRPr="0007080C">
        <w:rPr>
          <w:rFonts w:ascii="Times New Roman" w:eastAsia="Times New Roman" w:hAnsi="Times New Roman" w:cs="Times New Roman"/>
          <w:b/>
          <w:bCs/>
          <w:sz w:val="20"/>
          <w:szCs w:val="20"/>
        </w:rPr>
        <w:t>Nanocables</w:t>
      </w:r>
      <w:proofErr w:type="spellEnd"/>
      <w:r w:rsidRPr="0007080C">
        <w:rPr>
          <w:rFonts w:ascii="Times New Roman" w:eastAsia="Times New Roman" w:hAnsi="Times New Roman" w:cs="Times New Roman"/>
          <w:b/>
          <w:bCs/>
          <w:sz w:val="20"/>
          <w:szCs w:val="20"/>
        </w:rPr>
        <w:t xml:space="preserve"> as High Performance Anode Materials for Lithium-ion Batteries</w:t>
      </w:r>
      <w:r w:rsidRPr="00F85E46">
        <w:rPr>
          <w:rFonts w:ascii="Times New Roman" w:eastAsia="Times New Roman" w:hAnsi="Times New Roman" w:cs="Times New Roman"/>
          <w:b/>
          <w:bCs/>
          <w:sz w:val="20"/>
          <w:szCs w:val="20"/>
        </w:rPr>
        <w:fldChar w:fldCharType="end"/>
      </w:r>
    </w:p>
    <w:bookmarkEnd w:id="0"/>
    <w:p w:rsidR="00F85E46" w:rsidRPr="0007080C" w:rsidRDefault="00F85E46" w:rsidP="0007080C">
      <w:pPr>
        <w:spacing w:before="100" w:beforeAutospacing="1" w:after="100" w:afterAutospacing="1" w:line="240" w:lineRule="auto"/>
        <w:outlineLvl w:val="5"/>
        <w:rPr>
          <w:rStyle w:val="Strong"/>
          <w:rFonts w:ascii="Times New Roman" w:eastAsia="Times New Roman" w:hAnsi="Times New Roman" w:cs="Times New Roman"/>
          <w:b w:val="0"/>
          <w:i/>
          <w:sz w:val="20"/>
          <w:szCs w:val="20"/>
        </w:rPr>
      </w:pPr>
      <w:proofErr w:type="spellStart"/>
      <w:r w:rsidRPr="0007080C">
        <w:rPr>
          <w:rFonts w:ascii="Times New Roman" w:eastAsia="Times New Roman" w:hAnsi="Times New Roman" w:cs="Times New Roman"/>
          <w:bCs/>
          <w:i/>
          <w:sz w:val="20"/>
          <w:szCs w:val="20"/>
        </w:rPr>
        <w:t>Genqiang</w:t>
      </w:r>
      <w:proofErr w:type="spellEnd"/>
      <w:r w:rsidRPr="0007080C">
        <w:rPr>
          <w:rFonts w:ascii="Times New Roman" w:eastAsia="Times New Roman" w:hAnsi="Times New Roman" w:cs="Times New Roman"/>
          <w:bCs/>
          <w:i/>
          <w:sz w:val="20"/>
          <w:szCs w:val="20"/>
        </w:rPr>
        <w:t xml:space="preserve"> Zhang</w:t>
      </w:r>
      <w:r w:rsidR="0007080C">
        <w:rPr>
          <w:rFonts w:ascii="Times New Roman" w:eastAsia="Times New Roman" w:hAnsi="Times New Roman" w:cs="Times New Roman"/>
          <w:bCs/>
          <w:i/>
          <w:sz w:val="20"/>
          <w:szCs w:val="20"/>
        </w:rPr>
        <w:t>, MPA-CINT, Los Alamos National Lab., Los Alamos, NM, 87544; Email:gqzhang@lanl.gov</w:t>
      </w:r>
    </w:p>
    <w:p w:rsidR="00F85E46" w:rsidRPr="0007080C" w:rsidRDefault="00F85E46" w:rsidP="0007080C">
      <w:pPr>
        <w:pStyle w:val="NormalWeb"/>
        <w:rPr>
          <w:sz w:val="20"/>
          <w:szCs w:val="20"/>
        </w:rPr>
      </w:pPr>
      <w:r w:rsidRPr="0007080C">
        <w:rPr>
          <w:rStyle w:val="Strong"/>
          <w:sz w:val="20"/>
          <w:szCs w:val="20"/>
        </w:rPr>
        <w:t>Abstract</w:t>
      </w:r>
    </w:p>
    <w:p w:rsidR="00F85E46" w:rsidRDefault="00F85E46" w:rsidP="0007080C">
      <w:pPr>
        <w:pStyle w:val="NormalWeb"/>
        <w:spacing w:line="300" w:lineRule="auto"/>
        <w:jc w:val="both"/>
        <w:rPr>
          <w:sz w:val="20"/>
          <w:szCs w:val="20"/>
        </w:rPr>
      </w:pPr>
      <w:r>
        <w:rPr>
          <w:sz w:val="20"/>
          <w:szCs w:val="20"/>
        </w:rPr>
        <w:t xml:space="preserve">        </w:t>
      </w:r>
      <w:r w:rsidRPr="00F85E46">
        <w:rPr>
          <w:sz w:val="20"/>
          <w:szCs w:val="20"/>
        </w:rPr>
        <w:t xml:space="preserve">Lithium-ion batteries (LIBs) have been considered as one of the most promising electric energy storage systems due to the various merits of high voltage, high capacity, low cost and environmental friendliness. However, there are still several challenging issues in LIBs to be overcome in order to fulfil the requirements as high-performance power sources in future market, including higher capacity, lower cost, longer cycle life and better rate performance. Nanostructure engineering has been demonstrated as a powerful and effective strategy in the rational design of new electrode materials with optimized performance through both morphological and compositional solutions. For example, various nanostructures with controlled morphologies including hollow spheres/cubes, nanowires/rods as well as </w:t>
      </w:r>
      <w:proofErr w:type="spellStart"/>
      <w:r w:rsidRPr="00F85E46">
        <w:rPr>
          <w:sz w:val="20"/>
          <w:szCs w:val="20"/>
        </w:rPr>
        <w:t>nanoplates</w:t>
      </w:r>
      <w:proofErr w:type="spellEnd"/>
      <w:r w:rsidRPr="00F85E46">
        <w:rPr>
          <w:sz w:val="20"/>
          <w:szCs w:val="20"/>
        </w:rPr>
        <w:t xml:space="preserve"> could achieve significantly enhanced lithium storage properties due to the size and shape effects. However, the intrinsic properties including low electrical conductivity and poor mechanical stability of most oxide electrode materials, leading to unsatisfactory cycling stability and rate performance, still seriously limit their applications. Recently, an emerging concept of hybrid nanostructures has attracted tremendous attention since better performance could be expected in such architectures.</w:t>
      </w:r>
      <w:r>
        <w:rPr>
          <w:sz w:val="20"/>
          <w:szCs w:val="20"/>
        </w:rPr>
        <w:t xml:space="preserve"> </w:t>
      </w:r>
      <w:r w:rsidRPr="00F85E46">
        <w:rPr>
          <w:sz w:val="20"/>
          <w:szCs w:val="20"/>
        </w:rPr>
        <w:t xml:space="preserve">Coaxial </w:t>
      </w:r>
      <w:proofErr w:type="spellStart"/>
      <w:r w:rsidRPr="00F85E46">
        <w:rPr>
          <w:sz w:val="20"/>
          <w:szCs w:val="20"/>
        </w:rPr>
        <w:t>nanocables</w:t>
      </w:r>
      <w:proofErr w:type="spellEnd"/>
      <w:r w:rsidRPr="00F85E46">
        <w:rPr>
          <w:sz w:val="20"/>
          <w:szCs w:val="20"/>
        </w:rPr>
        <w:t xml:space="preserve">, as one of the most interesting hybrid nanostructures, hold the great potential for simultaneously resolving the problems of poor electrical conductivity and weak mechanical stability with rational design and careful choice of core and shell components. However, there are not too many such reports showing the attractive properties of </w:t>
      </w:r>
      <w:proofErr w:type="spellStart"/>
      <w:r w:rsidRPr="00F85E46">
        <w:rPr>
          <w:sz w:val="20"/>
          <w:szCs w:val="20"/>
        </w:rPr>
        <w:t>nanocable</w:t>
      </w:r>
      <w:proofErr w:type="spellEnd"/>
      <w:r w:rsidRPr="00F85E46">
        <w:rPr>
          <w:sz w:val="20"/>
          <w:szCs w:val="20"/>
        </w:rPr>
        <w:t xml:space="preserve"> structures for lithium storage, probably due to the lack of appropriate synthesis methods.</w:t>
      </w:r>
    </w:p>
    <w:p w:rsidR="00F85E46" w:rsidRDefault="0007080C" w:rsidP="0007080C">
      <w:pPr>
        <w:pStyle w:val="NormalWeb"/>
        <w:spacing w:line="300" w:lineRule="auto"/>
        <w:jc w:val="both"/>
        <w:rPr>
          <w:sz w:val="20"/>
          <w:szCs w:val="20"/>
        </w:rPr>
      </w:pPr>
      <w:r>
        <w:rPr>
          <w:sz w:val="20"/>
          <w:szCs w:val="20"/>
        </w:rPr>
        <w:t xml:space="preserve">       </w:t>
      </w:r>
      <w:r w:rsidR="00F85E46">
        <w:rPr>
          <w:sz w:val="20"/>
          <w:szCs w:val="20"/>
        </w:rPr>
        <w:t xml:space="preserve"> </w:t>
      </w:r>
      <w:r w:rsidR="00F85E46" w:rsidRPr="00F85E46">
        <w:rPr>
          <w:sz w:val="20"/>
          <w:szCs w:val="20"/>
        </w:rPr>
        <w:t xml:space="preserve">In this work, we have successfully synthesized </w:t>
      </w:r>
      <w:proofErr w:type="spellStart"/>
      <w:r w:rsidR="00F85E46" w:rsidRPr="00F85E46">
        <w:rPr>
          <w:sz w:val="20"/>
          <w:szCs w:val="20"/>
        </w:rPr>
        <w:t>CNF@MnO</w:t>
      </w:r>
      <w:proofErr w:type="spellEnd"/>
      <w:r w:rsidR="00F85E46" w:rsidRPr="00F85E46">
        <w:rPr>
          <w:sz w:val="20"/>
          <w:szCs w:val="20"/>
        </w:rPr>
        <w:t xml:space="preserve"> and CNF@CoMn</w:t>
      </w:r>
      <w:r w:rsidR="00F85E46" w:rsidRPr="00F85E46">
        <w:rPr>
          <w:sz w:val="20"/>
          <w:szCs w:val="20"/>
          <w:vertAlign w:val="subscript"/>
        </w:rPr>
        <w:t>2</w:t>
      </w:r>
      <w:r w:rsidR="00F85E46" w:rsidRPr="00F85E46">
        <w:rPr>
          <w:sz w:val="20"/>
          <w:szCs w:val="20"/>
        </w:rPr>
        <w:t>O</w:t>
      </w:r>
      <w:r w:rsidR="00F85E46" w:rsidRPr="00F85E46">
        <w:rPr>
          <w:sz w:val="20"/>
          <w:szCs w:val="20"/>
          <w:vertAlign w:val="subscript"/>
        </w:rPr>
        <w:t>4</w:t>
      </w:r>
      <w:r w:rsidR="00F85E46" w:rsidRPr="00F85E46">
        <w:rPr>
          <w:sz w:val="20"/>
          <w:szCs w:val="20"/>
        </w:rPr>
        <w:t xml:space="preserve"> coaxial </w:t>
      </w:r>
      <w:proofErr w:type="spellStart"/>
      <w:r w:rsidR="00F85E46" w:rsidRPr="00F85E46">
        <w:rPr>
          <w:sz w:val="20"/>
          <w:szCs w:val="20"/>
        </w:rPr>
        <w:t>nanocables</w:t>
      </w:r>
      <w:proofErr w:type="spellEnd"/>
      <w:r w:rsidR="00F85E46" w:rsidRPr="00F85E46">
        <w:rPr>
          <w:sz w:val="20"/>
          <w:szCs w:val="20"/>
        </w:rPr>
        <w:t xml:space="preserve"> with considerably enhanced lithium storage performance through a facile two-step strategy. The method involves the </w:t>
      </w:r>
      <w:proofErr w:type="spellStart"/>
      <w:r w:rsidR="00F85E46" w:rsidRPr="00F85E46">
        <w:rPr>
          <w:sz w:val="20"/>
          <w:szCs w:val="20"/>
        </w:rPr>
        <w:t>polyol</w:t>
      </w:r>
      <w:proofErr w:type="spellEnd"/>
      <w:r w:rsidR="00F85E46" w:rsidRPr="00F85E46">
        <w:rPr>
          <w:sz w:val="20"/>
          <w:szCs w:val="20"/>
        </w:rPr>
        <w:t xml:space="preserve"> process for the synthesis of metal-</w:t>
      </w:r>
      <w:proofErr w:type="spellStart"/>
      <w:r w:rsidR="00F85E46" w:rsidRPr="00F85E46">
        <w:rPr>
          <w:sz w:val="20"/>
          <w:szCs w:val="20"/>
        </w:rPr>
        <w:t>glycolate</w:t>
      </w:r>
      <w:proofErr w:type="spellEnd"/>
      <w:r w:rsidR="00F85E46" w:rsidRPr="00F85E46">
        <w:rPr>
          <w:sz w:val="20"/>
          <w:szCs w:val="20"/>
        </w:rPr>
        <w:t xml:space="preserve"> layer on the surface of the CNFs and the subsequent thermal </w:t>
      </w:r>
      <w:proofErr w:type="spellStart"/>
      <w:r w:rsidR="00F85E46" w:rsidRPr="00F85E46">
        <w:rPr>
          <w:sz w:val="20"/>
          <w:szCs w:val="20"/>
        </w:rPr>
        <w:t>ennealing</w:t>
      </w:r>
      <w:proofErr w:type="spellEnd"/>
      <w:r w:rsidR="00F85E46" w:rsidRPr="00F85E46">
        <w:rPr>
          <w:sz w:val="20"/>
          <w:szCs w:val="20"/>
        </w:rPr>
        <w:t xml:space="preserve"> treatment </w:t>
      </w:r>
      <w:proofErr w:type="spellStart"/>
      <w:r w:rsidR="00F85E46" w:rsidRPr="00F85E46">
        <w:rPr>
          <w:sz w:val="20"/>
          <w:szCs w:val="20"/>
        </w:rPr>
        <w:t>undr</w:t>
      </w:r>
      <w:proofErr w:type="spellEnd"/>
      <w:r w:rsidR="00F85E46" w:rsidRPr="00F85E46">
        <w:rPr>
          <w:sz w:val="20"/>
          <w:szCs w:val="20"/>
        </w:rPr>
        <w:t xml:space="preserve"> N</w:t>
      </w:r>
      <w:r w:rsidR="00F85E46" w:rsidRPr="00F85E46">
        <w:rPr>
          <w:sz w:val="20"/>
          <w:szCs w:val="20"/>
          <w:vertAlign w:val="subscript"/>
        </w:rPr>
        <w:t>2</w:t>
      </w:r>
      <w:r w:rsidR="00F85E46" w:rsidRPr="00F85E46">
        <w:rPr>
          <w:sz w:val="20"/>
          <w:szCs w:val="20"/>
        </w:rPr>
        <w:t xml:space="preserve"> protection. These two </w:t>
      </w:r>
      <w:proofErr w:type="spellStart"/>
      <w:r w:rsidR="00F85E46" w:rsidRPr="00F85E46">
        <w:rPr>
          <w:sz w:val="20"/>
          <w:szCs w:val="20"/>
        </w:rPr>
        <w:t>nanocable</w:t>
      </w:r>
      <w:proofErr w:type="spellEnd"/>
      <w:r w:rsidR="00F85E46" w:rsidRPr="00F85E46">
        <w:rPr>
          <w:sz w:val="20"/>
          <w:szCs w:val="20"/>
        </w:rPr>
        <w:t xml:space="preserve"> electrodes exhibit remarkable lithium storage properties in terms of high specific capacity, long cycle life and superior rate performance. For example, at a current density of 1000 mA/g, the CNF@CoMn</w:t>
      </w:r>
      <w:r w:rsidR="00F85E46" w:rsidRPr="00F85E46">
        <w:rPr>
          <w:sz w:val="20"/>
          <w:szCs w:val="20"/>
          <w:vertAlign w:val="subscript"/>
        </w:rPr>
        <w:t>2</w:t>
      </w:r>
      <w:r w:rsidR="00F85E46" w:rsidRPr="00F85E46">
        <w:rPr>
          <w:sz w:val="20"/>
          <w:szCs w:val="20"/>
        </w:rPr>
        <w:t>O</w:t>
      </w:r>
      <w:r w:rsidR="00F85E46" w:rsidRPr="00F85E46">
        <w:rPr>
          <w:sz w:val="20"/>
          <w:szCs w:val="20"/>
          <w:vertAlign w:val="subscript"/>
        </w:rPr>
        <w:t>4</w:t>
      </w:r>
      <w:r w:rsidR="00F85E46" w:rsidRPr="00F85E46">
        <w:rPr>
          <w:sz w:val="20"/>
          <w:szCs w:val="20"/>
        </w:rPr>
        <w:t xml:space="preserve"> </w:t>
      </w:r>
      <w:proofErr w:type="spellStart"/>
      <w:r w:rsidR="00F85E46" w:rsidRPr="00F85E46">
        <w:rPr>
          <w:sz w:val="20"/>
          <w:szCs w:val="20"/>
        </w:rPr>
        <w:t>nanocable</w:t>
      </w:r>
      <w:proofErr w:type="spellEnd"/>
      <w:r w:rsidR="00F85E46" w:rsidRPr="00F85E46">
        <w:rPr>
          <w:sz w:val="20"/>
          <w:szCs w:val="20"/>
        </w:rPr>
        <w:t xml:space="preserve"> electrode can deliver a high capacity </w:t>
      </w:r>
      <w:proofErr w:type="gramStart"/>
      <w:r w:rsidR="00F85E46" w:rsidRPr="00F85E46">
        <w:rPr>
          <w:sz w:val="20"/>
          <w:szCs w:val="20"/>
        </w:rPr>
        <w:t xml:space="preserve">of about 655 </w:t>
      </w:r>
      <w:proofErr w:type="spellStart"/>
      <w:r w:rsidR="00F85E46" w:rsidRPr="00F85E46">
        <w:rPr>
          <w:sz w:val="20"/>
          <w:szCs w:val="20"/>
        </w:rPr>
        <w:t>mAh</w:t>
      </w:r>
      <w:proofErr w:type="spellEnd"/>
      <w:r w:rsidR="00F85E46" w:rsidRPr="00F85E46">
        <w:rPr>
          <w:sz w:val="20"/>
          <w:szCs w:val="20"/>
        </w:rPr>
        <w:t>/g</w:t>
      </w:r>
      <w:proofErr w:type="gramEnd"/>
      <w:r w:rsidR="00F85E46" w:rsidRPr="00F85E46">
        <w:rPr>
          <w:sz w:val="20"/>
          <w:szCs w:val="20"/>
        </w:rPr>
        <w:t xml:space="preserve"> and can last for at least 300 cycles, which is remarkable. The enhanced electrochemical performance could be attributed to several advantages of the smart coaxial </w:t>
      </w:r>
      <w:proofErr w:type="spellStart"/>
      <w:r w:rsidR="00F85E46" w:rsidRPr="00F85E46">
        <w:rPr>
          <w:sz w:val="20"/>
          <w:szCs w:val="20"/>
        </w:rPr>
        <w:t>nanocable</w:t>
      </w:r>
      <w:proofErr w:type="spellEnd"/>
      <w:r w:rsidR="00F85E46" w:rsidRPr="00F85E46">
        <w:rPr>
          <w:sz w:val="20"/>
          <w:szCs w:val="20"/>
        </w:rPr>
        <w:t xml:space="preserve"> configuration, which can effectively alleviate the volume change, prohibit the nanoparticle aggregation and facilitate the electron transport. Such high-performance </w:t>
      </w:r>
      <w:proofErr w:type="spellStart"/>
      <w:r w:rsidR="00F85E46" w:rsidRPr="00F85E46">
        <w:rPr>
          <w:sz w:val="20"/>
          <w:szCs w:val="20"/>
        </w:rPr>
        <w:t>nanosctructures</w:t>
      </w:r>
      <w:proofErr w:type="spellEnd"/>
      <w:r w:rsidR="00F85E46" w:rsidRPr="00F85E46">
        <w:rPr>
          <w:sz w:val="20"/>
          <w:szCs w:val="20"/>
        </w:rPr>
        <w:t xml:space="preserve"> with large-scale production might hold great potential for the fabrication of high energy and power density lithium-ion batteries.</w:t>
      </w:r>
    </w:p>
    <w:p w:rsidR="00983568" w:rsidRDefault="0007080C" w:rsidP="0007080C">
      <w:pPr>
        <w:pStyle w:val="NormalWeb"/>
        <w:jc w:val="center"/>
        <w:rPr>
          <w:sz w:val="20"/>
          <w:szCs w:val="20"/>
        </w:rPr>
      </w:pPr>
      <w:r>
        <w:rPr>
          <w:noProof/>
          <w:sz w:val="20"/>
          <w:szCs w:val="20"/>
        </w:rPr>
        <w:drawing>
          <wp:inline distT="0" distB="0" distL="0" distR="0" wp14:anchorId="51488508" wp14:editId="66245B32">
            <wp:extent cx="2103120" cy="1190656"/>
            <wp:effectExtent l="0" t="0" r="0" b="9525"/>
            <wp:docPr id="1" name="Picture 1" descr="F:\T420\CCO-CMO paper\EES\EES revised version\Send to lou\TOC 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T420\CCO-CMO paper\EES\EES revised version\Send to lou\TOC figure.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03120" cy="1190656"/>
                    </a:xfrm>
                    <a:prstGeom prst="rect">
                      <a:avLst/>
                    </a:prstGeom>
                    <a:noFill/>
                    <a:ln>
                      <a:noFill/>
                    </a:ln>
                  </pic:spPr>
                </pic:pic>
              </a:graphicData>
            </a:graphic>
          </wp:inline>
        </w:drawing>
      </w:r>
      <w:r>
        <w:rPr>
          <w:noProof/>
          <w:sz w:val="20"/>
          <w:szCs w:val="20"/>
        </w:rPr>
        <w:drawing>
          <wp:inline distT="0" distB="0" distL="0" distR="0" wp14:anchorId="1BCB7E75" wp14:editId="68BF1A8E">
            <wp:extent cx="1828800" cy="1193572"/>
            <wp:effectExtent l="0" t="0" r="0" b="6985"/>
            <wp:docPr id="2" name="Picture 2" descr="F:\T420\CCO-CMO paper\EES\EES revised version\Send to lou\Figure 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T420\CCO-CMO paper\EES\EES revised version\Send to lou\Figure 4.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8800" cy="1193572"/>
                    </a:xfrm>
                    <a:prstGeom prst="rect">
                      <a:avLst/>
                    </a:prstGeom>
                    <a:noFill/>
                    <a:ln>
                      <a:noFill/>
                    </a:ln>
                  </pic:spPr>
                </pic:pic>
              </a:graphicData>
            </a:graphic>
          </wp:inline>
        </w:drawing>
      </w:r>
    </w:p>
    <w:p w:rsidR="0007080C" w:rsidRDefault="0007080C" w:rsidP="0007080C">
      <w:pPr>
        <w:pStyle w:val="NormalWeb"/>
        <w:jc w:val="center"/>
        <w:rPr>
          <w:sz w:val="20"/>
          <w:szCs w:val="20"/>
        </w:rPr>
      </w:pPr>
      <w:r>
        <w:rPr>
          <w:sz w:val="20"/>
          <w:szCs w:val="20"/>
        </w:rPr>
        <w:t>Typical morphologies and lithium storage properties as anode for LIBs</w:t>
      </w:r>
    </w:p>
    <w:p w:rsidR="0007080C" w:rsidRDefault="0007080C" w:rsidP="0007080C">
      <w:pPr>
        <w:pStyle w:val="NormalWeb"/>
        <w:jc w:val="both"/>
        <w:rPr>
          <w:sz w:val="18"/>
          <w:szCs w:val="18"/>
        </w:rPr>
      </w:pPr>
      <w:r w:rsidRPr="0007080C">
        <w:rPr>
          <w:sz w:val="18"/>
          <w:szCs w:val="18"/>
        </w:rPr>
        <w:t>References:</w:t>
      </w:r>
    </w:p>
    <w:p w:rsidR="0007080C" w:rsidRDefault="0007080C" w:rsidP="0007080C">
      <w:pPr>
        <w:pStyle w:val="NormalWeb"/>
        <w:numPr>
          <w:ilvl w:val="0"/>
          <w:numId w:val="1"/>
        </w:numPr>
        <w:jc w:val="both"/>
        <w:rPr>
          <w:sz w:val="18"/>
          <w:szCs w:val="18"/>
        </w:rPr>
      </w:pPr>
      <w:r w:rsidRPr="0007080C">
        <w:rPr>
          <w:sz w:val="18"/>
          <w:szCs w:val="18"/>
          <w:u w:val="single"/>
          <w:lang w:val="en-SG"/>
        </w:rPr>
        <w:t>G. Q. Zhang</w:t>
      </w:r>
      <w:r w:rsidRPr="0007080C">
        <w:rPr>
          <w:sz w:val="18"/>
          <w:szCs w:val="18"/>
          <w:lang w:val="en-SG"/>
        </w:rPr>
        <w:t xml:space="preserve">, H. B. Wu, H. E. </w:t>
      </w:r>
      <w:proofErr w:type="spellStart"/>
      <w:r w:rsidRPr="0007080C">
        <w:rPr>
          <w:rStyle w:val="spelle"/>
          <w:sz w:val="18"/>
          <w:szCs w:val="18"/>
          <w:lang w:val="en-SG"/>
        </w:rPr>
        <w:t>Hoster</w:t>
      </w:r>
      <w:proofErr w:type="spellEnd"/>
      <w:r w:rsidRPr="0007080C">
        <w:rPr>
          <w:sz w:val="18"/>
          <w:szCs w:val="18"/>
          <w:lang w:val="en-SG"/>
        </w:rPr>
        <w:t xml:space="preserve">, X. W. Lou,* </w:t>
      </w:r>
      <w:r w:rsidRPr="0007080C">
        <w:rPr>
          <w:b/>
          <w:i/>
          <w:sz w:val="18"/>
          <w:szCs w:val="18"/>
          <w:lang w:val="en-SG"/>
        </w:rPr>
        <w:t>Energy &amp; Environmental Science</w:t>
      </w:r>
      <w:r w:rsidRPr="0007080C">
        <w:rPr>
          <w:sz w:val="18"/>
          <w:szCs w:val="18"/>
          <w:lang w:val="en-SG"/>
        </w:rPr>
        <w:t>,</w:t>
      </w:r>
      <w:r w:rsidRPr="0007080C">
        <w:rPr>
          <w:sz w:val="18"/>
          <w:szCs w:val="18"/>
        </w:rPr>
        <w:t xml:space="preserve"> </w:t>
      </w:r>
      <w:r w:rsidRPr="0007080C">
        <w:rPr>
          <w:i/>
          <w:sz w:val="18"/>
          <w:szCs w:val="18"/>
        </w:rPr>
        <w:t>7</w:t>
      </w:r>
      <w:r w:rsidRPr="0007080C">
        <w:rPr>
          <w:sz w:val="18"/>
          <w:szCs w:val="18"/>
        </w:rPr>
        <w:t>, 302 – 305 (</w:t>
      </w:r>
      <w:r w:rsidRPr="0007080C">
        <w:rPr>
          <w:b/>
          <w:sz w:val="18"/>
          <w:szCs w:val="18"/>
        </w:rPr>
        <w:t>2014</w:t>
      </w:r>
      <w:r w:rsidRPr="0007080C">
        <w:rPr>
          <w:sz w:val="18"/>
          <w:szCs w:val="18"/>
        </w:rPr>
        <w:t>).</w:t>
      </w:r>
    </w:p>
    <w:p w:rsidR="0007080C" w:rsidRPr="0007080C" w:rsidRDefault="0007080C" w:rsidP="0007080C">
      <w:pPr>
        <w:pStyle w:val="NormalWeb"/>
        <w:numPr>
          <w:ilvl w:val="0"/>
          <w:numId w:val="1"/>
        </w:numPr>
        <w:jc w:val="both"/>
        <w:rPr>
          <w:sz w:val="18"/>
          <w:szCs w:val="18"/>
        </w:rPr>
      </w:pPr>
      <w:r w:rsidRPr="0007080C">
        <w:rPr>
          <w:sz w:val="18"/>
          <w:szCs w:val="18"/>
          <w:lang w:val="en-SG"/>
        </w:rPr>
        <w:t xml:space="preserve">L. Zhang, </w:t>
      </w:r>
      <w:r w:rsidRPr="0007080C">
        <w:rPr>
          <w:sz w:val="18"/>
          <w:szCs w:val="18"/>
          <w:u w:val="single"/>
          <w:lang w:val="en-SG"/>
        </w:rPr>
        <w:t>G. Q. Zhang</w:t>
      </w:r>
      <w:r w:rsidRPr="0007080C">
        <w:rPr>
          <w:sz w:val="18"/>
          <w:szCs w:val="18"/>
          <w:lang w:val="en-SG"/>
        </w:rPr>
        <w:t xml:space="preserve">, H. B. Wu, L. Yu, </w:t>
      </w:r>
      <w:r w:rsidRPr="0007080C">
        <w:rPr>
          <w:sz w:val="18"/>
          <w:szCs w:val="18"/>
          <w:u w:val="single"/>
          <w:lang w:val="en-SG"/>
        </w:rPr>
        <w:t>X. W. Lou</w:t>
      </w:r>
      <w:r w:rsidRPr="0007080C">
        <w:rPr>
          <w:sz w:val="18"/>
          <w:szCs w:val="18"/>
          <w:lang w:val="en-GB"/>
        </w:rPr>
        <w:t xml:space="preserve">,* </w:t>
      </w:r>
      <w:r w:rsidRPr="0007080C">
        <w:rPr>
          <w:b/>
          <w:i/>
          <w:sz w:val="18"/>
          <w:szCs w:val="18"/>
          <w:lang w:val="en-GB"/>
        </w:rPr>
        <w:t>Advanced Materials</w:t>
      </w:r>
      <w:r w:rsidRPr="0007080C">
        <w:rPr>
          <w:sz w:val="18"/>
          <w:szCs w:val="18"/>
          <w:lang w:val="en-GB"/>
        </w:rPr>
        <w:t xml:space="preserve">, </w:t>
      </w:r>
      <w:r w:rsidRPr="0007080C">
        <w:rPr>
          <w:i/>
          <w:sz w:val="18"/>
          <w:szCs w:val="18"/>
          <w:lang w:val="en-GB"/>
        </w:rPr>
        <w:t>25</w:t>
      </w:r>
      <w:r w:rsidRPr="0007080C">
        <w:rPr>
          <w:sz w:val="18"/>
          <w:szCs w:val="18"/>
          <w:lang w:val="en-GB"/>
        </w:rPr>
        <w:t xml:space="preserve">, 2589 </w:t>
      </w:r>
      <w:r w:rsidRPr="0007080C">
        <w:rPr>
          <w:sz w:val="18"/>
          <w:szCs w:val="18"/>
        </w:rPr>
        <w:t>–</w:t>
      </w:r>
      <w:r w:rsidRPr="0007080C">
        <w:rPr>
          <w:sz w:val="18"/>
          <w:szCs w:val="18"/>
          <w:lang w:val="en-GB"/>
        </w:rPr>
        <w:t xml:space="preserve"> 2593 (</w:t>
      </w:r>
      <w:r w:rsidRPr="0007080C">
        <w:rPr>
          <w:b/>
          <w:sz w:val="18"/>
          <w:szCs w:val="18"/>
          <w:lang w:val="en-GB"/>
        </w:rPr>
        <w:t>2013</w:t>
      </w:r>
      <w:r w:rsidRPr="0007080C">
        <w:rPr>
          <w:sz w:val="18"/>
          <w:szCs w:val="18"/>
          <w:lang w:val="en-GB"/>
        </w:rPr>
        <w:t>).</w:t>
      </w:r>
    </w:p>
    <w:sectPr w:rsidR="0007080C" w:rsidRPr="0007080C" w:rsidSect="00F85E4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71ECD"/>
    <w:multiLevelType w:val="hybridMultilevel"/>
    <w:tmpl w:val="C922ABF0"/>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5CC"/>
    <w:rsid w:val="0007080C"/>
    <w:rsid w:val="00130626"/>
    <w:rsid w:val="008435CC"/>
    <w:rsid w:val="00983568"/>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6">
    <w:name w:val="heading 6"/>
    <w:basedOn w:val="Normal"/>
    <w:link w:val="Heading6Char"/>
    <w:uiPriority w:val="9"/>
    <w:qFormat/>
    <w:rsid w:val="00F85E46"/>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85E4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85E46"/>
    <w:rPr>
      <w:b/>
      <w:bCs/>
    </w:rPr>
  </w:style>
  <w:style w:type="character" w:customStyle="1" w:styleId="Heading6Char">
    <w:name w:val="Heading 6 Char"/>
    <w:basedOn w:val="DefaultParagraphFont"/>
    <w:link w:val="Heading6"/>
    <w:uiPriority w:val="9"/>
    <w:rsid w:val="00F85E46"/>
    <w:rPr>
      <w:rFonts w:ascii="Times New Roman" w:eastAsia="Times New Roman" w:hAnsi="Times New Roman" w:cs="Times New Roman"/>
      <w:b/>
      <w:bCs/>
      <w:sz w:val="15"/>
      <w:szCs w:val="15"/>
    </w:rPr>
  </w:style>
  <w:style w:type="character" w:styleId="Hyperlink">
    <w:name w:val="Hyperlink"/>
    <w:basedOn w:val="DefaultParagraphFont"/>
    <w:uiPriority w:val="99"/>
    <w:semiHidden/>
    <w:unhideWhenUsed/>
    <w:rsid w:val="00F85E46"/>
    <w:rPr>
      <w:color w:val="0000FF"/>
      <w:u w:val="single"/>
    </w:rPr>
  </w:style>
  <w:style w:type="paragraph" w:styleId="BalloonText">
    <w:name w:val="Balloon Text"/>
    <w:basedOn w:val="Normal"/>
    <w:link w:val="BalloonTextChar"/>
    <w:uiPriority w:val="99"/>
    <w:semiHidden/>
    <w:unhideWhenUsed/>
    <w:rsid w:val="000708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080C"/>
    <w:rPr>
      <w:rFonts w:ascii="Tahoma" w:hAnsi="Tahoma" w:cs="Tahoma"/>
      <w:sz w:val="16"/>
      <w:szCs w:val="16"/>
    </w:rPr>
  </w:style>
  <w:style w:type="character" w:customStyle="1" w:styleId="spelle">
    <w:name w:val="spelle"/>
    <w:basedOn w:val="DefaultParagraphFont"/>
    <w:rsid w:val="000708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6">
    <w:name w:val="heading 6"/>
    <w:basedOn w:val="Normal"/>
    <w:link w:val="Heading6Char"/>
    <w:uiPriority w:val="9"/>
    <w:qFormat/>
    <w:rsid w:val="00F85E46"/>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85E4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85E46"/>
    <w:rPr>
      <w:b/>
      <w:bCs/>
    </w:rPr>
  </w:style>
  <w:style w:type="character" w:customStyle="1" w:styleId="Heading6Char">
    <w:name w:val="Heading 6 Char"/>
    <w:basedOn w:val="DefaultParagraphFont"/>
    <w:link w:val="Heading6"/>
    <w:uiPriority w:val="9"/>
    <w:rsid w:val="00F85E46"/>
    <w:rPr>
      <w:rFonts w:ascii="Times New Roman" w:eastAsia="Times New Roman" w:hAnsi="Times New Roman" w:cs="Times New Roman"/>
      <w:b/>
      <w:bCs/>
      <w:sz w:val="15"/>
      <w:szCs w:val="15"/>
    </w:rPr>
  </w:style>
  <w:style w:type="character" w:styleId="Hyperlink">
    <w:name w:val="Hyperlink"/>
    <w:basedOn w:val="DefaultParagraphFont"/>
    <w:uiPriority w:val="99"/>
    <w:semiHidden/>
    <w:unhideWhenUsed/>
    <w:rsid w:val="00F85E46"/>
    <w:rPr>
      <w:color w:val="0000FF"/>
      <w:u w:val="single"/>
    </w:rPr>
  </w:style>
  <w:style w:type="paragraph" w:styleId="BalloonText">
    <w:name w:val="Balloon Text"/>
    <w:basedOn w:val="Normal"/>
    <w:link w:val="BalloonTextChar"/>
    <w:uiPriority w:val="99"/>
    <w:semiHidden/>
    <w:unhideWhenUsed/>
    <w:rsid w:val="000708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080C"/>
    <w:rPr>
      <w:rFonts w:ascii="Tahoma" w:hAnsi="Tahoma" w:cs="Tahoma"/>
      <w:sz w:val="16"/>
      <w:szCs w:val="16"/>
    </w:rPr>
  </w:style>
  <w:style w:type="character" w:customStyle="1" w:styleId="spelle">
    <w:name w:val="spelle"/>
    <w:basedOn w:val="DefaultParagraphFont"/>
    <w:rsid w:val="000708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3486604">
      <w:bodyDiv w:val="1"/>
      <w:marLeft w:val="0"/>
      <w:marRight w:val="0"/>
      <w:marTop w:val="0"/>
      <w:marBottom w:val="0"/>
      <w:divBdr>
        <w:top w:val="none" w:sz="0" w:space="0" w:color="auto"/>
        <w:left w:val="none" w:sz="0" w:space="0" w:color="auto"/>
        <w:bottom w:val="none" w:sz="0" w:space="0" w:color="auto"/>
        <w:right w:val="none" w:sz="0" w:space="0" w:color="auto"/>
      </w:divBdr>
    </w:div>
    <w:div w:id="143216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tif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525</Words>
  <Characters>2995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Los Alamos National Laboratory</Company>
  <LinksUpToDate>false</LinksUpToDate>
  <CharactersWithSpaces>3513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DDS User</dc:creator>
  <cp:lastModifiedBy>Janki Pandya</cp:lastModifiedBy>
  <cp:revision>2</cp:revision>
  <dcterms:created xsi:type="dcterms:W3CDTF">2014-07-01T14:23:00Z</dcterms:created>
  <dcterms:modified xsi:type="dcterms:W3CDTF">2014-07-01T14:23:00Z</dcterms:modified>
</cp:coreProperties>
</file>