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26E" w:rsidRPr="00347EB5" w:rsidRDefault="0002426E" w:rsidP="0002426E">
      <w:pPr>
        <w:pStyle w:val="CETTitle"/>
      </w:pPr>
      <w:r>
        <w:t>Oxy-Combustion Coal Based Power Plants: Study of Operating Pressure, Oxygen Purity and Downstream Purification Parameters</w:t>
      </w:r>
    </w:p>
    <w:p w:rsidR="0002426E" w:rsidRPr="00347EB5" w:rsidRDefault="0002426E" w:rsidP="0002426E">
      <w:pPr>
        <w:pStyle w:val="CETAuthors"/>
      </w:pPr>
      <w:r>
        <w:t>Rengarajan Soundararajan*</w:t>
      </w:r>
      <w:r w:rsidRPr="00347EB5">
        <w:rPr>
          <w:vertAlign w:val="superscript"/>
        </w:rPr>
        <w:t>a</w:t>
      </w:r>
      <w:r w:rsidRPr="00347EB5">
        <w:t xml:space="preserve">, </w:t>
      </w:r>
      <w:r>
        <w:t>Truls Gundersen</w:t>
      </w:r>
      <w:r>
        <w:rPr>
          <w:vertAlign w:val="superscript"/>
        </w:rPr>
        <w:t>a</w:t>
      </w:r>
      <w:r w:rsidRPr="00347EB5">
        <w:t xml:space="preserve">, </w:t>
      </w:r>
      <w:bookmarkStart w:id="0" w:name="_GoBack"/>
      <w:r>
        <w:t>Mario Ditaranto</w:t>
      </w:r>
      <w:bookmarkEnd w:id="0"/>
      <w:r>
        <w:rPr>
          <w:vertAlign w:val="superscript"/>
        </w:rPr>
        <w:t>b</w:t>
      </w:r>
    </w:p>
    <w:p w:rsidR="0002426E" w:rsidRPr="009A7341" w:rsidRDefault="0002426E" w:rsidP="0002426E">
      <w:pPr>
        <w:pStyle w:val="CETAddress"/>
      </w:pPr>
      <w:r w:rsidRPr="00347EB5">
        <w:rPr>
          <w:vertAlign w:val="superscript"/>
        </w:rPr>
        <w:t>a</w:t>
      </w:r>
      <w:r>
        <w:t>Department of Energy and Process Engineering, Norwegian University of Science and Technology, Trondheim, Norway.</w:t>
      </w:r>
    </w:p>
    <w:p w:rsidR="0002426E" w:rsidRPr="00347EB5" w:rsidRDefault="0002426E" w:rsidP="0002426E">
      <w:pPr>
        <w:pStyle w:val="CETAddress"/>
      </w:pPr>
      <w:r w:rsidRPr="00347EB5">
        <w:rPr>
          <w:vertAlign w:val="superscript"/>
        </w:rPr>
        <w:t>b</w:t>
      </w:r>
      <w:r>
        <w:t>SINTEF Energy Research, N-7465; Trondheim, Norway</w:t>
      </w:r>
    </w:p>
    <w:p w:rsidR="0002426E" w:rsidRPr="00347EB5" w:rsidRDefault="003D4A66" w:rsidP="0002426E">
      <w:pPr>
        <w:pStyle w:val="CETAddress"/>
      </w:pPr>
      <w:r>
        <w:t>*</w:t>
      </w:r>
      <w:r w:rsidR="0002426E">
        <w:t>rengarajan.soundararajan@ntnu.no</w:t>
      </w:r>
    </w:p>
    <w:p w:rsidR="009D3DF3" w:rsidRDefault="0002426E" w:rsidP="009D3DF3">
      <w:pPr>
        <w:pStyle w:val="CETBodytext"/>
        <w:rPr>
          <w:sz w:val="20"/>
          <w:lang w:val="en-GB"/>
        </w:rPr>
      </w:pPr>
      <w:r w:rsidRPr="00390131">
        <w:rPr>
          <w:sz w:val="20"/>
          <w:lang w:val="en-GB"/>
        </w:rPr>
        <w:t>Oxy-combustion coal based power plants are considered one of the cost effective ways to produce CO</w:t>
      </w:r>
      <w:r w:rsidRPr="00390131">
        <w:rPr>
          <w:sz w:val="20"/>
          <w:vertAlign w:val="subscript"/>
          <w:lang w:val="en-GB"/>
        </w:rPr>
        <w:t>2</w:t>
      </w:r>
      <w:r w:rsidRPr="00390131">
        <w:rPr>
          <w:sz w:val="20"/>
          <w:lang w:val="en-GB"/>
        </w:rPr>
        <w:t xml:space="preserve"> emission free</w:t>
      </w:r>
      <w:r w:rsidR="002A1957">
        <w:rPr>
          <w:sz w:val="20"/>
          <w:lang w:val="en-GB"/>
        </w:rPr>
        <w:t xml:space="preserve"> (captures at least 90 % of the CO</w:t>
      </w:r>
      <w:r w:rsidR="002A1957" w:rsidRPr="002A1957">
        <w:rPr>
          <w:sz w:val="20"/>
          <w:vertAlign w:val="subscript"/>
          <w:lang w:val="en-GB"/>
        </w:rPr>
        <w:t>2</w:t>
      </w:r>
      <w:r w:rsidR="002A1957">
        <w:rPr>
          <w:sz w:val="20"/>
          <w:lang w:val="en-GB"/>
        </w:rPr>
        <w:t xml:space="preserve"> </w:t>
      </w:r>
      <w:r w:rsidR="00675C3E">
        <w:rPr>
          <w:sz w:val="20"/>
          <w:lang w:val="en-GB"/>
        </w:rPr>
        <w:t>produced</w:t>
      </w:r>
      <w:r w:rsidR="002A1957">
        <w:rPr>
          <w:sz w:val="20"/>
          <w:lang w:val="en-GB"/>
        </w:rPr>
        <w:t>)</w:t>
      </w:r>
      <w:r w:rsidRPr="00390131">
        <w:rPr>
          <w:sz w:val="20"/>
          <w:lang w:val="en-GB"/>
        </w:rPr>
        <w:t xml:space="preserve"> electricity. Recovery of compression heat and the latent heat from the flue gases can further improve the efficiency of such power plants. Power plants that employ a boiler operating at a pressure higher than ambient pressure avoid air leakage into the boiler and also recover more of the latent heat available in the flue gases. Such power plants require compression of the oxygen stream before the combustor, an entirely new boiler house design and modifications to the downstream flue gas processing systems. Selection of an operating pressure that is energy optimal is the key to design of such systems. Besides the operating pressure, the oxygen purity and the downstream separation parameters have a considerable impact on the overall performance of such power plants. In this paper, the impact of operating pressure, oxygen purity and downstream purification parameters on the performance of oxy-combustion coal based power plants are studied.</w:t>
      </w:r>
    </w:p>
    <w:p w:rsidR="00C77802" w:rsidRPr="00390131" w:rsidRDefault="00C77802" w:rsidP="009D3DF3">
      <w:pPr>
        <w:pStyle w:val="CETBodytext"/>
        <w:rPr>
          <w:sz w:val="20"/>
          <w:lang w:val="en-GB"/>
        </w:rPr>
      </w:pPr>
    </w:p>
    <w:p w:rsidR="003D4A66" w:rsidRDefault="00771504" w:rsidP="009D3DF3">
      <w:pPr>
        <w:pStyle w:val="CETBodytext"/>
        <w:rPr>
          <w:lang w:val="en-GB"/>
        </w:rPr>
      </w:pPr>
      <w:r>
        <w:rPr>
          <w:noProof/>
        </w:rPr>
        <w:drawing>
          <wp:inline distT="0" distB="0" distL="0" distR="0">
            <wp:extent cx="5972810" cy="360807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verall.emf"/>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72810" cy="3608070"/>
                    </a:xfrm>
                    <a:prstGeom prst="rect">
                      <a:avLst/>
                    </a:prstGeom>
                  </pic:spPr>
                </pic:pic>
              </a:graphicData>
            </a:graphic>
          </wp:inline>
        </w:drawing>
      </w:r>
    </w:p>
    <w:p w:rsidR="003D4A66" w:rsidRPr="009A7341" w:rsidRDefault="003D4A66" w:rsidP="003D4A66">
      <w:pPr>
        <w:pStyle w:val="CETHeading1"/>
        <w:numPr>
          <w:ilvl w:val="0"/>
          <w:numId w:val="0"/>
        </w:numPr>
        <w:rPr>
          <w:lang w:val="en-GB"/>
        </w:rPr>
      </w:pPr>
      <w:r>
        <w:rPr>
          <w:lang w:val="en-GB"/>
        </w:rPr>
        <w:t>Scope</w:t>
      </w:r>
    </w:p>
    <w:p w:rsidR="000B1415" w:rsidRDefault="00AF3FC5" w:rsidP="003D4A66">
      <w:pPr>
        <w:pStyle w:val="CETBodytext"/>
        <w:rPr>
          <w:lang w:val="en-GB"/>
        </w:rPr>
      </w:pPr>
      <w:r>
        <w:rPr>
          <w:sz w:val="20"/>
          <w:lang w:val="en-GB"/>
        </w:rPr>
        <w:t>The m</w:t>
      </w:r>
      <w:r w:rsidR="006B412A" w:rsidRPr="00844459">
        <w:rPr>
          <w:sz w:val="20"/>
          <w:lang w:val="en-GB"/>
        </w:rPr>
        <w:t>ain focus</w:t>
      </w:r>
      <w:r w:rsidR="00E81620">
        <w:rPr>
          <w:sz w:val="20"/>
          <w:lang w:val="en-GB"/>
        </w:rPr>
        <w:t xml:space="preserve"> of this work is to identify</w:t>
      </w:r>
      <w:r w:rsidR="006B412A" w:rsidRPr="00844459">
        <w:rPr>
          <w:sz w:val="20"/>
          <w:lang w:val="en-GB"/>
        </w:rPr>
        <w:t xml:space="preserve"> near optimal</w:t>
      </w:r>
      <w:r w:rsidR="000B1415" w:rsidRPr="00844459">
        <w:rPr>
          <w:sz w:val="20"/>
          <w:lang w:val="en-GB"/>
        </w:rPr>
        <w:t xml:space="preserve"> values</w:t>
      </w:r>
      <w:r w:rsidR="00E81620">
        <w:rPr>
          <w:sz w:val="20"/>
          <w:lang w:val="en-GB"/>
        </w:rPr>
        <w:t xml:space="preserve"> in terms of thermal efficiency</w:t>
      </w:r>
      <w:r w:rsidR="000B1415" w:rsidRPr="00844459">
        <w:rPr>
          <w:sz w:val="20"/>
          <w:lang w:val="en-GB"/>
        </w:rPr>
        <w:t xml:space="preserve"> for the</w:t>
      </w:r>
      <w:r w:rsidR="006B412A" w:rsidRPr="00844459">
        <w:rPr>
          <w:sz w:val="20"/>
          <w:lang w:val="en-GB"/>
        </w:rPr>
        <w:t xml:space="preserve"> boiler</w:t>
      </w:r>
      <w:r w:rsidR="00E81620">
        <w:rPr>
          <w:sz w:val="20"/>
          <w:lang w:val="en-GB"/>
        </w:rPr>
        <w:t xml:space="preserve"> operating pressure (p</w:t>
      </w:r>
      <w:r w:rsidR="006B412A" w:rsidRPr="00844459">
        <w:rPr>
          <w:sz w:val="20"/>
          <w:lang w:val="en-GB"/>
        </w:rPr>
        <w:t>ressure at S2 in the figure)</w:t>
      </w:r>
      <w:r w:rsidR="000B1415" w:rsidRPr="00844459">
        <w:rPr>
          <w:sz w:val="20"/>
          <w:lang w:val="en-GB"/>
        </w:rPr>
        <w:t>, the oxygen purity (at S1),</w:t>
      </w:r>
      <w:r w:rsidR="00E81620">
        <w:rPr>
          <w:sz w:val="20"/>
          <w:lang w:val="en-GB"/>
        </w:rPr>
        <w:t xml:space="preserve"> and</w:t>
      </w:r>
      <w:r w:rsidR="006B412A" w:rsidRPr="00844459">
        <w:rPr>
          <w:sz w:val="20"/>
          <w:lang w:val="en-GB"/>
        </w:rPr>
        <w:t xml:space="preserve"> CPU operating parameters such as the pre-compression pressure (</w:t>
      </w:r>
      <w:r w:rsidR="00E81620">
        <w:rPr>
          <w:sz w:val="20"/>
          <w:lang w:val="en-GB"/>
        </w:rPr>
        <w:t>p</w:t>
      </w:r>
      <w:r w:rsidR="000B1415" w:rsidRPr="00844459">
        <w:rPr>
          <w:sz w:val="20"/>
          <w:lang w:val="en-GB"/>
        </w:rPr>
        <w:t>ressure at S7 in the figure) and the temperature at S8. Issues related to the investment cost an</w:t>
      </w:r>
      <w:r w:rsidR="00E81620">
        <w:rPr>
          <w:sz w:val="20"/>
          <w:lang w:val="en-GB"/>
        </w:rPr>
        <w:t>d operating economics are beyond the scope of</w:t>
      </w:r>
      <w:r w:rsidR="000B1415" w:rsidRPr="00844459">
        <w:rPr>
          <w:sz w:val="20"/>
          <w:lang w:val="en-GB"/>
        </w:rPr>
        <w:t xml:space="preserve"> this work.</w:t>
      </w:r>
    </w:p>
    <w:p w:rsidR="000B1415" w:rsidRDefault="008249EB" w:rsidP="008249EB">
      <w:pPr>
        <w:pStyle w:val="CETHeading1"/>
        <w:numPr>
          <w:ilvl w:val="0"/>
          <w:numId w:val="0"/>
        </w:numPr>
        <w:rPr>
          <w:lang w:val="en-GB"/>
        </w:rPr>
      </w:pPr>
      <w:r>
        <w:rPr>
          <w:lang w:val="en-GB"/>
        </w:rPr>
        <w:lastRenderedPageBreak/>
        <w:t>Results</w:t>
      </w:r>
    </w:p>
    <w:p w:rsidR="005A5F3E" w:rsidRPr="00844459" w:rsidRDefault="008249EB" w:rsidP="008249EB">
      <w:pPr>
        <w:pStyle w:val="CETBodytext"/>
        <w:rPr>
          <w:sz w:val="20"/>
          <w:lang w:val="en-GB"/>
        </w:rPr>
      </w:pPr>
      <w:r w:rsidRPr="00844459">
        <w:rPr>
          <w:sz w:val="20"/>
          <w:lang w:val="en-GB"/>
        </w:rPr>
        <w:t>Adiabatic compression of the oxygen stream from the ASU (S1) to 16 bars is found to be near optimal for the overall performance</w:t>
      </w:r>
      <w:r w:rsidR="008F5E48">
        <w:rPr>
          <w:sz w:val="20"/>
          <w:lang w:val="en-GB"/>
        </w:rPr>
        <w:t xml:space="preserve"> of the system. Alternatively, i</w:t>
      </w:r>
      <w:r w:rsidRPr="00844459">
        <w:rPr>
          <w:sz w:val="20"/>
          <w:lang w:val="en-GB"/>
        </w:rPr>
        <w:t>sothermal compression using multiple stages and intercooling can be used to achieve similar efficiency values. In case of isothermal compression, preheating of the compressed oxygen is required to achieve the best efficiency. Owing to the simplicity, adiabatic compression of the oxygen is recommended as the best option.</w:t>
      </w:r>
      <w:r w:rsidR="005A5F3E" w:rsidRPr="00844459">
        <w:rPr>
          <w:sz w:val="20"/>
          <w:lang w:val="en-GB"/>
        </w:rPr>
        <w:t xml:space="preserve"> </w:t>
      </w:r>
      <w:r w:rsidR="00536457" w:rsidRPr="00844459">
        <w:rPr>
          <w:sz w:val="20"/>
          <w:lang w:val="en-GB"/>
        </w:rPr>
        <w:t>The temperature at S8 is found to have very minimal impact on the overall performance of the system.</w:t>
      </w:r>
      <w:r w:rsidR="00DD2996" w:rsidRPr="00DD2996">
        <w:rPr>
          <w:sz w:val="20"/>
          <w:lang w:val="en-GB"/>
        </w:rPr>
        <w:t xml:space="preserve"> </w:t>
      </w:r>
      <w:r w:rsidR="00DD2996" w:rsidRPr="00844459">
        <w:rPr>
          <w:sz w:val="20"/>
          <w:lang w:val="en-GB"/>
        </w:rPr>
        <w:t>The impact of oxygen purity and pre-compression pressu</w:t>
      </w:r>
      <w:r w:rsidR="008F5E48">
        <w:rPr>
          <w:sz w:val="20"/>
          <w:lang w:val="en-GB"/>
        </w:rPr>
        <w:t>re is shown in the figures below</w:t>
      </w:r>
      <w:r w:rsidR="00DD2996" w:rsidRPr="00844459">
        <w:rPr>
          <w:sz w:val="20"/>
          <w:lang w:val="en-GB"/>
        </w:rPr>
        <w:t>.</w:t>
      </w:r>
    </w:p>
    <w:tbl>
      <w:tblPr>
        <w:tblW w:w="8925" w:type="dxa"/>
        <w:tblLook w:val="04A0" w:firstRow="1" w:lastRow="0" w:firstColumn="1" w:lastColumn="0" w:noHBand="0" w:noVBand="1"/>
      </w:tblPr>
      <w:tblGrid>
        <w:gridCol w:w="4476"/>
        <w:gridCol w:w="4449"/>
      </w:tblGrid>
      <w:tr w:rsidR="00263100" w:rsidTr="005A5F3E">
        <w:tc>
          <w:tcPr>
            <w:tcW w:w="4476" w:type="dxa"/>
            <w:shd w:val="clear" w:color="auto" w:fill="auto"/>
          </w:tcPr>
          <w:p w:rsidR="00263100" w:rsidRDefault="00263100" w:rsidP="00EE0071">
            <w:pPr>
              <w:pStyle w:val="CETBodytext"/>
              <w:keepNext/>
              <w:jc w:val="center"/>
            </w:pPr>
            <w:r>
              <w:rPr>
                <w:noProof/>
              </w:rPr>
              <w:drawing>
                <wp:inline distT="0" distB="0" distL="0" distR="0" wp14:anchorId="44B6C84B" wp14:editId="332EBDAA">
                  <wp:extent cx="2673985" cy="1690370"/>
                  <wp:effectExtent l="0" t="0" r="0" b="5080"/>
                  <wp:docPr id="5" name="Picture 5" descr="3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c"/>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673985" cy="1690370"/>
                          </a:xfrm>
                          <a:prstGeom prst="rect">
                            <a:avLst/>
                          </a:prstGeom>
                          <a:noFill/>
                          <a:ln>
                            <a:noFill/>
                          </a:ln>
                        </pic:spPr>
                      </pic:pic>
                    </a:graphicData>
                  </a:graphic>
                </wp:inline>
              </w:drawing>
            </w:r>
          </w:p>
          <w:p w:rsidR="00263100" w:rsidRDefault="00D90C80" w:rsidP="00EE0071">
            <w:pPr>
              <w:pStyle w:val="Caption"/>
              <w:jc w:val="center"/>
            </w:pPr>
            <w:r>
              <w:t>(a</w:t>
            </w:r>
            <w:r w:rsidR="00263100">
              <w:t>)</w:t>
            </w:r>
          </w:p>
        </w:tc>
        <w:tc>
          <w:tcPr>
            <w:tcW w:w="4449" w:type="dxa"/>
            <w:shd w:val="clear" w:color="auto" w:fill="auto"/>
          </w:tcPr>
          <w:p w:rsidR="00263100" w:rsidRDefault="00263100" w:rsidP="00EE0071">
            <w:pPr>
              <w:pStyle w:val="CETBodytext"/>
              <w:keepNext/>
              <w:jc w:val="center"/>
            </w:pPr>
            <w:r>
              <w:rPr>
                <w:noProof/>
              </w:rPr>
              <w:drawing>
                <wp:inline distT="0" distB="0" distL="0" distR="0" wp14:anchorId="232EE320" wp14:editId="58CBF739">
                  <wp:extent cx="2687955" cy="1690370"/>
                  <wp:effectExtent l="0" t="0" r="0" b="5080"/>
                  <wp:docPr id="4" name="Picture 4" descr="3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87955" cy="1690370"/>
                          </a:xfrm>
                          <a:prstGeom prst="rect">
                            <a:avLst/>
                          </a:prstGeom>
                          <a:noFill/>
                          <a:ln>
                            <a:noFill/>
                          </a:ln>
                        </pic:spPr>
                      </pic:pic>
                    </a:graphicData>
                  </a:graphic>
                </wp:inline>
              </w:drawing>
            </w:r>
          </w:p>
          <w:p w:rsidR="00263100" w:rsidRDefault="00D90C80" w:rsidP="00EE0071">
            <w:pPr>
              <w:pStyle w:val="Caption"/>
              <w:jc w:val="center"/>
            </w:pPr>
            <w:r>
              <w:t>(b</w:t>
            </w:r>
            <w:r w:rsidR="00263100">
              <w:t>)</w:t>
            </w:r>
          </w:p>
        </w:tc>
      </w:tr>
      <w:tr w:rsidR="00263100" w:rsidTr="005A5F3E">
        <w:tc>
          <w:tcPr>
            <w:tcW w:w="4476" w:type="dxa"/>
            <w:shd w:val="clear" w:color="auto" w:fill="auto"/>
          </w:tcPr>
          <w:p w:rsidR="00263100" w:rsidRDefault="00263100" w:rsidP="00EE0071">
            <w:pPr>
              <w:pStyle w:val="CETBodytext"/>
              <w:keepNext/>
              <w:jc w:val="center"/>
            </w:pPr>
            <w:r>
              <w:rPr>
                <w:noProof/>
              </w:rPr>
              <w:drawing>
                <wp:inline distT="0" distB="0" distL="0" distR="0" wp14:anchorId="23D8332E" wp14:editId="38302DA6">
                  <wp:extent cx="2701925" cy="1697355"/>
                  <wp:effectExtent l="0" t="0" r="3175" b="0"/>
                  <wp:docPr id="3" name="Picture 3" descr="3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01925" cy="1697355"/>
                          </a:xfrm>
                          <a:prstGeom prst="rect">
                            <a:avLst/>
                          </a:prstGeom>
                          <a:noFill/>
                          <a:ln>
                            <a:noFill/>
                          </a:ln>
                        </pic:spPr>
                      </pic:pic>
                    </a:graphicData>
                  </a:graphic>
                </wp:inline>
              </w:drawing>
            </w:r>
          </w:p>
          <w:p w:rsidR="00263100" w:rsidRDefault="00D90C80" w:rsidP="00EE0071">
            <w:pPr>
              <w:pStyle w:val="Caption"/>
              <w:jc w:val="center"/>
            </w:pPr>
            <w:r>
              <w:t>(c</w:t>
            </w:r>
            <w:r w:rsidR="00263100">
              <w:t>)</w:t>
            </w:r>
          </w:p>
        </w:tc>
        <w:tc>
          <w:tcPr>
            <w:tcW w:w="4449" w:type="dxa"/>
            <w:shd w:val="clear" w:color="auto" w:fill="auto"/>
          </w:tcPr>
          <w:p w:rsidR="00263100" w:rsidRDefault="00263100" w:rsidP="00EE0071">
            <w:pPr>
              <w:pStyle w:val="CETBodytext"/>
              <w:keepNext/>
              <w:jc w:val="center"/>
            </w:pPr>
            <w:r>
              <w:rPr>
                <w:noProof/>
              </w:rPr>
              <w:drawing>
                <wp:inline distT="0" distB="0" distL="0" distR="0" wp14:anchorId="2B540D27" wp14:editId="52894E75">
                  <wp:extent cx="2687955" cy="1690370"/>
                  <wp:effectExtent l="0" t="0" r="0" b="5080"/>
                  <wp:docPr id="2" name="Picture 2" descr="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3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87955" cy="1690370"/>
                          </a:xfrm>
                          <a:prstGeom prst="rect">
                            <a:avLst/>
                          </a:prstGeom>
                          <a:noFill/>
                          <a:ln>
                            <a:noFill/>
                          </a:ln>
                        </pic:spPr>
                      </pic:pic>
                    </a:graphicData>
                  </a:graphic>
                </wp:inline>
              </w:drawing>
            </w:r>
          </w:p>
          <w:p w:rsidR="00263100" w:rsidRDefault="00D90C80" w:rsidP="00EE0071">
            <w:pPr>
              <w:pStyle w:val="Caption"/>
              <w:keepNext/>
              <w:jc w:val="center"/>
            </w:pPr>
            <w:r>
              <w:t>(d</w:t>
            </w:r>
            <w:r w:rsidR="00263100">
              <w:t>)</w:t>
            </w:r>
          </w:p>
        </w:tc>
      </w:tr>
    </w:tbl>
    <w:p w:rsidR="007138BC" w:rsidRDefault="007138BC" w:rsidP="007138BC">
      <w:pPr>
        <w:pStyle w:val="CETHeading1"/>
        <w:numPr>
          <w:ilvl w:val="0"/>
          <w:numId w:val="0"/>
        </w:numPr>
        <w:rPr>
          <w:lang w:val="en-GB"/>
        </w:rPr>
      </w:pPr>
      <w:r>
        <w:rPr>
          <w:lang w:val="en-GB"/>
        </w:rPr>
        <w:t>Conclusion</w:t>
      </w:r>
    </w:p>
    <w:p w:rsidR="007138BC" w:rsidRPr="00866E5B" w:rsidRDefault="007138BC" w:rsidP="007138BC">
      <w:pPr>
        <w:pStyle w:val="CETBodytext"/>
        <w:rPr>
          <w:sz w:val="20"/>
          <w:lang w:val="en-GB"/>
        </w:rPr>
      </w:pPr>
      <w:r w:rsidRPr="00866E5B">
        <w:rPr>
          <w:sz w:val="20"/>
          <w:lang w:val="en-GB"/>
        </w:rPr>
        <w:t>The baseline power plant without</w:t>
      </w:r>
      <w:r w:rsidR="008F5E48">
        <w:rPr>
          <w:sz w:val="20"/>
          <w:lang w:val="en-GB"/>
        </w:rPr>
        <w:t xml:space="preserve"> CO</w:t>
      </w:r>
      <w:r w:rsidR="008F5E48" w:rsidRPr="008F5E48">
        <w:rPr>
          <w:sz w:val="20"/>
          <w:vertAlign w:val="subscript"/>
          <w:lang w:val="en-GB"/>
        </w:rPr>
        <w:t>2</w:t>
      </w:r>
      <w:r w:rsidRPr="00866E5B">
        <w:rPr>
          <w:sz w:val="20"/>
          <w:lang w:val="en-GB"/>
        </w:rPr>
        <w:t xml:space="preserve"> capture has a net LHV efficiency of 44.7 % and the baseline oxy-combustion power plant with capture has a net LHV efficiency of 37.9 %. The </w:t>
      </w:r>
      <w:r w:rsidR="003E23FE">
        <w:rPr>
          <w:sz w:val="20"/>
          <w:lang w:val="en-GB"/>
        </w:rPr>
        <w:t>low energy penalty (6.8 % points)</w:t>
      </w:r>
      <w:r w:rsidRPr="00866E5B">
        <w:rPr>
          <w:sz w:val="20"/>
          <w:lang w:val="en-GB"/>
        </w:rPr>
        <w:t xml:space="preserve"> of the capture plant is due to flue gas heat recovery and CPU heat integration. Increasing the boiler operating pressure to 16 bars recovers the flue gas latent heat and the compression heat thereby resulting in a net LHV efficiency of 38.7 %. A study of the impact of oxygen purity and CPU operating parameters provides a near optimal combination of these parameters (~97 % oxygen purity and 24 bars pre-compression pressure) resulting in a final net LHV efficiency of 38.9 %.</w:t>
      </w:r>
    </w:p>
    <w:p w:rsidR="007138BC" w:rsidRDefault="007138BC" w:rsidP="007138BC">
      <w:pPr>
        <w:pStyle w:val="CETReference"/>
        <w:rPr>
          <w:b w:val="0"/>
          <w:lang w:val="en-GB"/>
        </w:rPr>
      </w:pPr>
      <w:r>
        <w:t xml:space="preserve">Acknowledgment </w:t>
      </w:r>
      <w:r w:rsidRPr="007C4752">
        <w:rPr>
          <w:b w:val="0"/>
          <w:lang w:val="en-GB"/>
        </w:rPr>
        <w:t xml:space="preserve">This publication has been produced with support from the BIGCCS Centre, performed under the Norwegian research program </w:t>
      </w:r>
      <w:r w:rsidRPr="007801F8">
        <w:rPr>
          <w:b w:val="0"/>
          <w:i/>
          <w:lang w:val="en-GB"/>
        </w:rPr>
        <w:t>Centres for Environment-friendly Energy Research (FME)</w:t>
      </w:r>
      <w:r w:rsidRPr="007C4752">
        <w:rPr>
          <w:b w:val="0"/>
          <w:lang w:val="en-GB"/>
        </w:rPr>
        <w:t xml:space="preserve">. The authors acknowledge the following partners for their contributions: ConocoPhillips, </w:t>
      </w:r>
      <w:proofErr w:type="spellStart"/>
      <w:r w:rsidRPr="007C4752">
        <w:rPr>
          <w:b w:val="0"/>
          <w:lang w:val="en-GB"/>
        </w:rPr>
        <w:t>Gassco</w:t>
      </w:r>
      <w:proofErr w:type="spellEnd"/>
      <w:r>
        <w:rPr>
          <w:b w:val="0"/>
          <w:lang w:val="en-GB"/>
        </w:rPr>
        <w:t>,</w:t>
      </w:r>
      <w:r w:rsidRPr="007C4752">
        <w:rPr>
          <w:b w:val="0"/>
          <w:lang w:val="en-GB"/>
        </w:rPr>
        <w:t xml:space="preserve"> Shell, Statoil, TOTAL, GDF SUEZ and the Research Council of Norway (193816/S60).</w:t>
      </w:r>
      <w:r>
        <w:rPr>
          <w:b w:val="0"/>
          <w:lang w:val="en-GB"/>
        </w:rPr>
        <w:t xml:space="preserve"> The authors wish to thank Chao Fu (Norwegian University of Science and Technology) for providing the ASU energy consumption values.</w:t>
      </w:r>
    </w:p>
    <w:p w:rsidR="008249EB" w:rsidRPr="008249EB" w:rsidRDefault="008249EB" w:rsidP="008249EB">
      <w:pPr>
        <w:pStyle w:val="CETBodytext"/>
        <w:rPr>
          <w:lang w:val="en-GB"/>
        </w:rPr>
      </w:pPr>
    </w:p>
    <w:sectPr w:rsidR="008249EB" w:rsidRPr="008249EB">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38217E"/>
    <w:multiLevelType w:val="multilevel"/>
    <w:tmpl w:val="66820D24"/>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TableSimple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0395"/>
    <w:rsid w:val="0002426E"/>
    <w:rsid w:val="000B1415"/>
    <w:rsid w:val="001B6039"/>
    <w:rsid w:val="001B6FA4"/>
    <w:rsid w:val="00263100"/>
    <w:rsid w:val="002868E3"/>
    <w:rsid w:val="002A1957"/>
    <w:rsid w:val="00332DDF"/>
    <w:rsid w:val="00380395"/>
    <w:rsid w:val="00390131"/>
    <w:rsid w:val="003D4A66"/>
    <w:rsid w:val="003E23FE"/>
    <w:rsid w:val="004116D3"/>
    <w:rsid w:val="004236CF"/>
    <w:rsid w:val="004D5907"/>
    <w:rsid w:val="00536457"/>
    <w:rsid w:val="005A5F3E"/>
    <w:rsid w:val="0066005E"/>
    <w:rsid w:val="00675C3E"/>
    <w:rsid w:val="006B412A"/>
    <w:rsid w:val="007138BC"/>
    <w:rsid w:val="00771504"/>
    <w:rsid w:val="007C391D"/>
    <w:rsid w:val="008249EB"/>
    <w:rsid w:val="00844459"/>
    <w:rsid w:val="00866E5B"/>
    <w:rsid w:val="008F5E48"/>
    <w:rsid w:val="009346DD"/>
    <w:rsid w:val="0099305F"/>
    <w:rsid w:val="009D3DF3"/>
    <w:rsid w:val="00AF3FC5"/>
    <w:rsid w:val="00C6706A"/>
    <w:rsid w:val="00C77802"/>
    <w:rsid w:val="00CC012B"/>
    <w:rsid w:val="00CD5303"/>
    <w:rsid w:val="00D90C80"/>
    <w:rsid w:val="00DB3DA5"/>
    <w:rsid w:val="00DD2996"/>
    <w:rsid w:val="00E413CB"/>
    <w:rsid w:val="00E81620"/>
    <w:rsid w:val="00F31901"/>
    <w:rsid w:val="00F523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TBodytext">
    <w:name w:val="CET Body text"/>
    <w:link w:val="CETBodytextCarattere"/>
    <w:rsid w:val="004236CF"/>
    <w:pPr>
      <w:tabs>
        <w:tab w:val="right" w:pos="7100"/>
      </w:tabs>
      <w:spacing w:after="0" w:line="264" w:lineRule="auto"/>
      <w:jc w:val="both"/>
    </w:pPr>
    <w:rPr>
      <w:rFonts w:ascii="Arial" w:eastAsia="Times New Roman" w:hAnsi="Arial" w:cs="Times New Roman"/>
      <w:sz w:val="18"/>
      <w:szCs w:val="20"/>
    </w:rPr>
  </w:style>
  <w:style w:type="character" w:customStyle="1" w:styleId="CETBodytextCarattere">
    <w:name w:val="CET Body text Carattere"/>
    <w:link w:val="CETBodytext"/>
    <w:rsid w:val="004236CF"/>
    <w:rPr>
      <w:rFonts w:ascii="Arial" w:eastAsia="Times New Roman" w:hAnsi="Arial" w:cs="Times New Roman"/>
      <w:sz w:val="18"/>
      <w:szCs w:val="20"/>
    </w:rPr>
  </w:style>
  <w:style w:type="paragraph" w:customStyle="1" w:styleId="CETAddress">
    <w:name w:val="CET Address"/>
    <w:basedOn w:val="Normal"/>
    <w:rsid w:val="0002426E"/>
    <w:pPr>
      <w:keepNext/>
      <w:suppressAutoHyphens/>
      <w:spacing w:line="264" w:lineRule="auto"/>
      <w:contextualSpacing/>
    </w:pPr>
    <w:rPr>
      <w:rFonts w:ascii="Arial" w:eastAsia="Times New Roman" w:hAnsi="Arial" w:cs="Times New Roman"/>
      <w:noProof/>
      <w:sz w:val="16"/>
      <w:szCs w:val="20"/>
      <w:lang w:val="en-GB"/>
    </w:rPr>
  </w:style>
  <w:style w:type="paragraph" w:customStyle="1" w:styleId="CETAuthors">
    <w:name w:val="CET Authors"/>
    <w:basedOn w:val="Normal"/>
    <w:link w:val="CETAuthorsCarattere"/>
    <w:rsid w:val="0002426E"/>
    <w:pPr>
      <w:keepNext/>
      <w:suppressAutoHyphens/>
      <w:spacing w:after="120" w:line="264" w:lineRule="auto"/>
    </w:pPr>
    <w:rPr>
      <w:rFonts w:ascii="Arial" w:eastAsia="Times New Roman" w:hAnsi="Arial" w:cs="Times New Roman"/>
      <w:noProof/>
      <w:sz w:val="24"/>
      <w:szCs w:val="20"/>
      <w:lang w:val="en-GB"/>
    </w:rPr>
  </w:style>
  <w:style w:type="paragraph" w:customStyle="1" w:styleId="CETTitle">
    <w:name w:val="CET Title"/>
    <w:next w:val="Normal"/>
    <w:link w:val="CETTitleCarattere"/>
    <w:rsid w:val="0002426E"/>
    <w:pPr>
      <w:suppressAutoHyphens/>
      <w:spacing w:before="30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02426E"/>
    <w:rPr>
      <w:rFonts w:ascii="Arial" w:eastAsia="Times New Roman" w:hAnsi="Arial" w:cs="Times New Roman"/>
      <w:noProof/>
      <w:sz w:val="24"/>
      <w:szCs w:val="20"/>
      <w:lang w:val="en-GB"/>
    </w:rPr>
  </w:style>
  <w:style w:type="character" w:customStyle="1" w:styleId="CETTitleCarattere">
    <w:name w:val="CET Title Carattere"/>
    <w:link w:val="CETTitle"/>
    <w:rsid w:val="0002426E"/>
    <w:rPr>
      <w:rFonts w:ascii="Arial" w:eastAsia="Times New Roman" w:hAnsi="Arial" w:cs="Times New Roman"/>
      <w:sz w:val="32"/>
      <w:szCs w:val="20"/>
      <w:lang w:val="en-GB"/>
    </w:rPr>
  </w:style>
  <w:style w:type="paragraph" w:customStyle="1" w:styleId="CETHeading1">
    <w:name w:val="CET Heading1"/>
    <w:basedOn w:val="CETBodytext"/>
    <w:next w:val="CETBodytext"/>
    <w:rsid w:val="009D3DF3"/>
    <w:pPr>
      <w:keepNext/>
      <w:numPr>
        <w:ilvl w:val="1"/>
        <w:numId w:val="1"/>
      </w:numPr>
      <w:suppressAutoHyphens/>
      <w:spacing w:before="240" w:after="120" w:line="240" w:lineRule="auto"/>
    </w:pPr>
    <w:rPr>
      <w:b/>
      <w:sz w:val="20"/>
    </w:rPr>
  </w:style>
  <w:style w:type="paragraph" w:customStyle="1" w:styleId="CETheadingx">
    <w:name w:val="CET headingx"/>
    <w:basedOn w:val="CETBodytext"/>
    <w:next w:val="CETBodytext"/>
    <w:rsid w:val="009D3DF3"/>
    <w:pPr>
      <w:keepNext/>
      <w:numPr>
        <w:ilvl w:val="2"/>
        <w:numId w:val="1"/>
      </w:numPr>
      <w:suppressAutoHyphens/>
      <w:spacing w:before="120" w:line="240" w:lineRule="auto"/>
    </w:pPr>
    <w:rPr>
      <w:b/>
    </w:rPr>
  </w:style>
  <w:style w:type="table" w:styleId="TableSimple1">
    <w:name w:val="Table Simple 1"/>
    <w:basedOn w:val="TableNormal"/>
    <w:semiHidden/>
    <w:rsid w:val="009D3DF3"/>
    <w:pPr>
      <w:numPr>
        <w:ilvl w:val="3"/>
        <w:numId w:val="1"/>
      </w:numPr>
      <w:spacing w:after="0" w:line="264" w:lineRule="auto"/>
      <w:jc w:val="both"/>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BalloonText">
    <w:name w:val="Balloon Text"/>
    <w:basedOn w:val="Normal"/>
    <w:link w:val="BalloonTextChar"/>
    <w:uiPriority w:val="99"/>
    <w:semiHidden/>
    <w:unhideWhenUsed/>
    <w:rsid w:val="007715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1504"/>
    <w:rPr>
      <w:rFonts w:ascii="Tahoma" w:hAnsi="Tahoma" w:cs="Tahoma"/>
      <w:sz w:val="16"/>
      <w:szCs w:val="16"/>
    </w:rPr>
  </w:style>
  <w:style w:type="paragraph" w:styleId="Caption">
    <w:name w:val="caption"/>
    <w:basedOn w:val="Normal"/>
    <w:next w:val="Normal"/>
    <w:unhideWhenUsed/>
    <w:qFormat/>
    <w:rsid w:val="00263100"/>
    <w:pPr>
      <w:spacing w:after="0" w:line="264" w:lineRule="auto"/>
      <w:jc w:val="both"/>
    </w:pPr>
    <w:rPr>
      <w:rFonts w:ascii="Times New Roman" w:eastAsia="Times New Roman" w:hAnsi="Times New Roman" w:cs="Times New Roman"/>
      <w:b/>
      <w:bCs/>
      <w:sz w:val="20"/>
      <w:szCs w:val="20"/>
      <w:lang w:val="en-GB"/>
    </w:rPr>
  </w:style>
  <w:style w:type="paragraph" w:customStyle="1" w:styleId="CETReference">
    <w:name w:val="CET_Reference"/>
    <w:basedOn w:val="CETHeading1"/>
    <w:next w:val="Normal"/>
    <w:rsid w:val="007138BC"/>
    <w:pPr>
      <w:numPr>
        <w:ilvl w:val="0"/>
        <w:numId w:val="0"/>
      </w:numPr>
      <w:spacing w:line="264" w:lineRule="auto"/>
    </w:pPr>
    <w:rPr>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TBodytext">
    <w:name w:val="CET Body text"/>
    <w:link w:val="CETBodytextCarattere"/>
    <w:rsid w:val="004236CF"/>
    <w:pPr>
      <w:tabs>
        <w:tab w:val="right" w:pos="7100"/>
      </w:tabs>
      <w:spacing w:after="0" w:line="264" w:lineRule="auto"/>
      <w:jc w:val="both"/>
    </w:pPr>
    <w:rPr>
      <w:rFonts w:ascii="Arial" w:eastAsia="Times New Roman" w:hAnsi="Arial" w:cs="Times New Roman"/>
      <w:sz w:val="18"/>
      <w:szCs w:val="20"/>
    </w:rPr>
  </w:style>
  <w:style w:type="character" w:customStyle="1" w:styleId="CETBodytextCarattere">
    <w:name w:val="CET Body text Carattere"/>
    <w:link w:val="CETBodytext"/>
    <w:rsid w:val="004236CF"/>
    <w:rPr>
      <w:rFonts w:ascii="Arial" w:eastAsia="Times New Roman" w:hAnsi="Arial" w:cs="Times New Roman"/>
      <w:sz w:val="18"/>
      <w:szCs w:val="20"/>
    </w:rPr>
  </w:style>
  <w:style w:type="paragraph" w:customStyle="1" w:styleId="CETAddress">
    <w:name w:val="CET Address"/>
    <w:basedOn w:val="Normal"/>
    <w:rsid w:val="0002426E"/>
    <w:pPr>
      <w:keepNext/>
      <w:suppressAutoHyphens/>
      <w:spacing w:line="264" w:lineRule="auto"/>
      <w:contextualSpacing/>
    </w:pPr>
    <w:rPr>
      <w:rFonts w:ascii="Arial" w:eastAsia="Times New Roman" w:hAnsi="Arial" w:cs="Times New Roman"/>
      <w:noProof/>
      <w:sz w:val="16"/>
      <w:szCs w:val="20"/>
      <w:lang w:val="en-GB"/>
    </w:rPr>
  </w:style>
  <w:style w:type="paragraph" w:customStyle="1" w:styleId="CETAuthors">
    <w:name w:val="CET Authors"/>
    <w:basedOn w:val="Normal"/>
    <w:link w:val="CETAuthorsCarattere"/>
    <w:rsid w:val="0002426E"/>
    <w:pPr>
      <w:keepNext/>
      <w:suppressAutoHyphens/>
      <w:spacing w:after="120" w:line="264" w:lineRule="auto"/>
    </w:pPr>
    <w:rPr>
      <w:rFonts w:ascii="Arial" w:eastAsia="Times New Roman" w:hAnsi="Arial" w:cs="Times New Roman"/>
      <w:noProof/>
      <w:sz w:val="24"/>
      <w:szCs w:val="20"/>
      <w:lang w:val="en-GB"/>
    </w:rPr>
  </w:style>
  <w:style w:type="paragraph" w:customStyle="1" w:styleId="CETTitle">
    <w:name w:val="CET Title"/>
    <w:next w:val="Normal"/>
    <w:link w:val="CETTitleCarattere"/>
    <w:rsid w:val="0002426E"/>
    <w:pPr>
      <w:suppressAutoHyphens/>
      <w:spacing w:before="30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02426E"/>
    <w:rPr>
      <w:rFonts w:ascii="Arial" w:eastAsia="Times New Roman" w:hAnsi="Arial" w:cs="Times New Roman"/>
      <w:noProof/>
      <w:sz w:val="24"/>
      <w:szCs w:val="20"/>
      <w:lang w:val="en-GB"/>
    </w:rPr>
  </w:style>
  <w:style w:type="character" w:customStyle="1" w:styleId="CETTitleCarattere">
    <w:name w:val="CET Title Carattere"/>
    <w:link w:val="CETTitle"/>
    <w:rsid w:val="0002426E"/>
    <w:rPr>
      <w:rFonts w:ascii="Arial" w:eastAsia="Times New Roman" w:hAnsi="Arial" w:cs="Times New Roman"/>
      <w:sz w:val="32"/>
      <w:szCs w:val="20"/>
      <w:lang w:val="en-GB"/>
    </w:rPr>
  </w:style>
  <w:style w:type="paragraph" w:customStyle="1" w:styleId="CETHeading1">
    <w:name w:val="CET Heading1"/>
    <w:basedOn w:val="CETBodytext"/>
    <w:next w:val="CETBodytext"/>
    <w:rsid w:val="009D3DF3"/>
    <w:pPr>
      <w:keepNext/>
      <w:numPr>
        <w:ilvl w:val="1"/>
        <w:numId w:val="1"/>
      </w:numPr>
      <w:suppressAutoHyphens/>
      <w:spacing w:before="240" w:after="120" w:line="240" w:lineRule="auto"/>
    </w:pPr>
    <w:rPr>
      <w:b/>
      <w:sz w:val="20"/>
    </w:rPr>
  </w:style>
  <w:style w:type="paragraph" w:customStyle="1" w:styleId="CETheadingx">
    <w:name w:val="CET headingx"/>
    <w:basedOn w:val="CETBodytext"/>
    <w:next w:val="CETBodytext"/>
    <w:rsid w:val="009D3DF3"/>
    <w:pPr>
      <w:keepNext/>
      <w:numPr>
        <w:ilvl w:val="2"/>
        <w:numId w:val="1"/>
      </w:numPr>
      <w:suppressAutoHyphens/>
      <w:spacing w:before="120" w:line="240" w:lineRule="auto"/>
    </w:pPr>
    <w:rPr>
      <w:b/>
    </w:rPr>
  </w:style>
  <w:style w:type="table" w:styleId="TableSimple1">
    <w:name w:val="Table Simple 1"/>
    <w:basedOn w:val="TableNormal"/>
    <w:semiHidden/>
    <w:rsid w:val="009D3DF3"/>
    <w:pPr>
      <w:numPr>
        <w:ilvl w:val="3"/>
        <w:numId w:val="1"/>
      </w:numPr>
      <w:spacing w:after="0" w:line="264" w:lineRule="auto"/>
      <w:jc w:val="both"/>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BalloonText">
    <w:name w:val="Balloon Text"/>
    <w:basedOn w:val="Normal"/>
    <w:link w:val="BalloonTextChar"/>
    <w:uiPriority w:val="99"/>
    <w:semiHidden/>
    <w:unhideWhenUsed/>
    <w:rsid w:val="007715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1504"/>
    <w:rPr>
      <w:rFonts w:ascii="Tahoma" w:hAnsi="Tahoma" w:cs="Tahoma"/>
      <w:sz w:val="16"/>
      <w:szCs w:val="16"/>
    </w:rPr>
  </w:style>
  <w:style w:type="paragraph" w:styleId="Caption">
    <w:name w:val="caption"/>
    <w:basedOn w:val="Normal"/>
    <w:next w:val="Normal"/>
    <w:unhideWhenUsed/>
    <w:qFormat/>
    <w:rsid w:val="00263100"/>
    <w:pPr>
      <w:spacing w:after="0" w:line="264" w:lineRule="auto"/>
      <w:jc w:val="both"/>
    </w:pPr>
    <w:rPr>
      <w:rFonts w:ascii="Times New Roman" w:eastAsia="Times New Roman" w:hAnsi="Times New Roman" w:cs="Times New Roman"/>
      <w:b/>
      <w:bCs/>
      <w:sz w:val="20"/>
      <w:szCs w:val="20"/>
      <w:lang w:val="en-GB"/>
    </w:rPr>
  </w:style>
  <w:style w:type="paragraph" w:customStyle="1" w:styleId="CETReference">
    <w:name w:val="CET_Reference"/>
    <w:basedOn w:val="CETHeading1"/>
    <w:next w:val="Normal"/>
    <w:rsid w:val="007138BC"/>
    <w:pPr>
      <w:numPr>
        <w:ilvl w:val="0"/>
        <w:numId w:val="0"/>
      </w:numPr>
      <w:spacing w:line="264" w:lineRule="auto"/>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microsoft.com/office/2007/relationships/stylesWithEffects" Target="stylesWithEffect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569</Words>
  <Characters>3246</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Fakultet for Ingeniørvitenskap og Teknologi, NTNU</Company>
  <LinksUpToDate>false</LinksUpToDate>
  <CharactersWithSpaces>3808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Rengarajan Soundararajan</dc:creator>
  <cp:lastModifiedBy>Dave Hopkinson</cp:lastModifiedBy>
  <cp:revision>2</cp:revision>
  <dcterms:created xsi:type="dcterms:W3CDTF">2014-08-20T14:14:00Z</dcterms:created>
  <dcterms:modified xsi:type="dcterms:W3CDTF">2014-08-20T14:14:00Z</dcterms:modified>
</cp:coreProperties>
</file>