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9C3" w:rsidRPr="00B818B6" w:rsidRDefault="00DC39C3" w:rsidP="00143758">
      <w:pPr>
        <w:spacing w:line="360" w:lineRule="auto"/>
        <w:jc w:val="center"/>
        <w:rPr>
          <w:rFonts w:ascii="Arial" w:hAnsi="Arial" w:cs="Arial"/>
          <w:b/>
          <w:bCs/>
          <w:sz w:val="28"/>
        </w:rPr>
      </w:pPr>
      <w:bookmarkStart w:id="0" w:name="_GoBack"/>
      <w:bookmarkEnd w:id="0"/>
      <w:r w:rsidRPr="00B818B6">
        <w:rPr>
          <w:rFonts w:ascii="Arial" w:hAnsi="Arial" w:cs="Arial"/>
          <w:b/>
          <w:bCs/>
          <w:sz w:val="28"/>
        </w:rPr>
        <w:t>Characterization and Identification of α and β-RDX Polymorphs on Stainless Steel Su</w:t>
      </w:r>
      <w:r w:rsidR="00143758">
        <w:rPr>
          <w:rFonts w:ascii="Arial" w:hAnsi="Arial" w:cs="Arial"/>
          <w:b/>
          <w:bCs/>
          <w:sz w:val="28"/>
        </w:rPr>
        <w:t>bstrates</w:t>
      </w:r>
    </w:p>
    <w:p w:rsidR="00143758" w:rsidRDefault="00143758" w:rsidP="00DC39C3">
      <w:pPr>
        <w:jc w:val="center"/>
        <w:rPr>
          <w:rFonts w:ascii="Arial" w:hAnsi="Arial" w:cs="Arial"/>
          <w:b/>
          <w:lang w:val="es-PR"/>
        </w:rPr>
      </w:pPr>
    </w:p>
    <w:p w:rsidR="00DC39C3" w:rsidRPr="00AE054F" w:rsidRDefault="00DC39C3" w:rsidP="00143758">
      <w:pPr>
        <w:spacing w:line="360" w:lineRule="auto"/>
        <w:jc w:val="center"/>
        <w:rPr>
          <w:rFonts w:ascii="Arial" w:hAnsi="Arial" w:cs="Arial"/>
          <w:b/>
          <w:lang w:val="es-PR"/>
        </w:rPr>
      </w:pPr>
      <w:r w:rsidRPr="00AE054F">
        <w:rPr>
          <w:rFonts w:ascii="Arial" w:hAnsi="Arial" w:cs="Arial"/>
          <w:b/>
          <w:lang w:val="es-PR"/>
        </w:rPr>
        <w:t xml:space="preserve">Amanda Figueroa-Navedo, </w:t>
      </w:r>
      <w:r w:rsidR="008A3234" w:rsidRPr="00AE054F">
        <w:rPr>
          <w:rFonts w:ascii="Arial" w:hAnsi="Arial" w:cs="Arial"/>
          <w:b/>
          <w:lang w:val="es-PR"/>
        </w:rPr>
        <w:t>José</w:t>
      </w:r>
      <w:r w:rsidRPr="00AE054F">
        <w:rPr>
          <w:rFonts w:ascii="Arial" w:hAnsi="Arial" w:cs="Arial"/>
          <w:b/>
          <w:lang w:val="es-PR"/>
        </w:rPr>
        <w:t xml:space="preserve"> L. Ruiz-Caballero and Samuel P. Hern</w:t>
      </w:r>
      <w:r w:rsidR="008A3234">
        <w:rPr>
          <w:rFonts w:ascii="Arial" w:hAnsi="Arial" w:cs="Arial"/>
          <w:b/>
          <w:lang w:val="es-PR"/>
        </w:rPr>
        <w:t>á</w:t>
      </w:r>
      <w:r w:rsidRPr="00AE054F">
        <w:rPr>
          <w:rFonts w:ascii="Arial" w:hAnsi="Arial" w:cs="Arial"/>
          <w:b/>
          <w:lang w:val="es-PR"/>
        </w:rPr>
        <w:t>ndez-Rivera*</w:t>
      </w:r>
    </w:p>
    <w:p w:rsidR="00DC39C3" w:rsidRPr="00AE054F" w:rsidRDefault="00CC4B00" w:rsidP="00DC39C3">
      <w:pPr>
        <w:jc w:val="center"/>
        <w:rPr>
          <w:rFonts w:ascii="Arial" w:hAnsi="Arial" w:cs="Arial"/>
          <w:i/>
          <w:iCs/>
          <w:lang w:val="es-PR"/>
        </w:rPr>
      </w:pPr>
      <w:hyperlink r:id="rId6" w:history="1">
        <w:r w:rsidR="00DC39C3" w:rsidRPr="00AE054F">
          <w:rPr>
            <w:rStyle w:val="Hipervnculo"/>
            <w:rFonts w:ascii="Arial" w:hAnsi="Arial" w:cs="Arial"/>
            <w:b/>
            <w:i/>
            <w:iCs/>
            <w:lang w:val="es-PR"/>
          </w:rPr>
          <w:t>amanda.figueroa@upr.edu</w:t>
        </w:r>
      </w:hyperlink>
      <w:r w:rsidR="00DC39C3" w:rsidRPr="00AE054F">
        <w:rPr>
          <w:rFonts w:ascii="Arial" w:hAnsi="Arial" w:cs="Arial"/>
          <w:b/>
          <w:i/>
          <w:iCs/>
          <w:lang w:val="es-PR"/>
        </w:rPr>
        <w:t xml:space="preserve">, </w:t>
      </w:r>
      <w:hyperlink r:id="rId7" w:history="1">
        <w:r w:rsidR="00DC39C3" w:rsidRPr="00AE054F">
          <w:rPr>
            <w:rStyle w:val="Hipervnculo"/>
            <w:rFonts w:ascii="Arial" w:hAnsi="Arial" w:cs="Arial"/>
            <w:b/>
            <w:i/>
            <w:iCs/>
            <w:lang w:val="es-PR"/>
          </w:rPr>
          <w:t>jose.ruiz9@upr.edu</w:t>
        </w:r>
      </w:hyperlink>
      <w:r w:rsidR="00DC39C3" w:rsidRPr="00AE054F">
        <w:rPr>
          <w:rFonts w:ascii="Arial" w:hAnsi="Arial" w:cs="Arial"/>
          <w:b/>
          <w:i/>
          <w:iCs/>
          <w:lang w:val="es-PR"/>
        </w:rPr>
        <w:t>,</w:t>
      </w:r>
      <w:r w:rsidR="00DC39C3">
        <w:rPr>
          <w:rFonts w:ascii="Arial" w:hAnsi="Arial" w:cs="Arial"/>
          <w:b/>
          <w:i/>
          <w:iCs/>
          <w:lang w:val="es-PR"/>
        </w:rPr>
        <w:t xml:space="preserve"> </w:t>
      </w:r>
      <w:hyperlink r:id="rId8" w:history="1">
        <w:r w:rsidR="00DC39C3" w:rsidRPr="00AE054F">
          <w:rPr>
            <w:rStyle w:val="Hipervnculo"/>
            <w:rFonts w:ascii="Arial" w:hAnsi="Arial" w:cs="Arial"/>
            <w:b/>
            <w:i/>
            <w:iCs/>
            <w:lang w:val="es-PR"/>
          </w:rPr>
          <w:t>samuel.hernandez3@upr.edu</w:t>
        </w:r>
      </w:hyperlink>
      <w:r w:rsidR="00DC39C3" w:rsidRPr="00AE054F">
        <w:rPr>
          <w:rFonts w:ascii="Arial" w:hAnsi="Arial" w:cs="Arial"/>
          <w:i/>
          <w:iCs/>
          <w:lang w:val="es-PR"/>
        </w:rPr>
        <w:t>*</w:t>
      </w:r>
    </w:p>
    <w:p w:rsidR="00DC39C3" w:rsidRPr="00AE054F" w:rsidRDefault="00DC39C3" w:rsidP="00DC39C3">
      <w:pPr>
        <w:jc w:val="center"/>
        <w:rPr>
          <w:rFonts w:ascii="Arial" w:hAnsi="Arial" w:cs="Arial"/>
          <w:i/>
          <w:iCs/>
          <w:lang w:val="es-PR"/>
        </w:rPr>
      </w:pPr>
    </w:p>
    <w:p w:rsidR="00DC39C3" w:rsidRPr="00C855AF" w:rsidRDefault="00DC39C3" w:rsidP="00DC39C3">
      <w:pPr>
        <w:jc w:val="center"/>
        <w:rPr>
          <w:rFonts w:ascii="Arial" w:hAnsi="Arial" w:cs="Arial"/>
          <w:b/>
          <w:iCs/>
        </w:rPr>
      </w:pPr>
      <w:r w:rsidRPr="00C855AF">
        <w:rPr>
          <w:rFonts w:ascii="Arial" w:hAnsi="Arial" w:cs="Arial"/>
          <w:b/>
          <w:iCs/>
        </w:rPr>
        <w:t>Abstract</w:t>
      </w:r>
    </w:p>
    <w:p w:rsidR="00DC39C3" w:rsidRDefault="00DC39C3" w:rsidP="00DC39C3">
      <w:pPr>
        <w:spacing w:line="240" w:lineRule="auto"/>
        <w:jc w:val="both"/>
        <w:rPr>
          <w:rFonts w:ascii="Arial" w:hAnsi="Arial" w:cs="Arial"/>
          <w:bCs/>
        </w:rPr>
      </w:pPr>
    </w:p>
    <w:p w:rsidR="00DC39C3" w:rsidRPr="00AE054F" w:rsidRDefault="00DC39C3" w:rsidP="00DC39C3">
      <w:pPr>
        <w:spacing w:line="240" w:lineRule="auto"/>
        <w:jc w:val="both"/>
        <w:rPr>
          <w:rFonts w:ascii="Arial" w:hAnsi="Arial" w:cs="Arial"/>
          <w:bCs/>
        </w:rPr>
      </w:pPr>
      <w:r w:rsidRPr="00AE054F">
        <w:rPr>
          <w:rFonts w:ascii="Arial" w:hAnsi="Arial" w:cs="Arial"/>
          <w:bCs/>
        </w:rPr>
        <w:t xml:space="preserve">The </w:t>
      </w:r>
      <w:r w:rsidR="00143758">
        <w:rPr>
          <w:rFonts w:ascii="Arial" w:hAnsi="Arial" w:cs="Arial"/>
          <w:bCs/>
        </w:rPr>
        <w:t xml:space="preserve">highly </w:t>
      </w:r>
      <w:r w:rsidRPr="00AE054F">
        <w:rPr>
          <w:rFonts w:ascii="Arial" w:hAnsi="Arial" w:cs="Arial"/>
          <w:bCs/>
        </w:rPr>
        <w:t xml:space="preserve">energetic material </w:t>
      </w:r>
      <w:r w:rsidR="00143758">
        <w:rPr>
          <w:rFonts w:ascii="Arial" w:hAnsi="Arial" w:cs="Arial"/>
          <w:bCs/>
        </w:rPr>
        <w:t>(HEM) studied</w:t>
      </w:r>
      <w:r w:rsidRPr="00AE054F">
        <w:rPr>
          <w:rFonts w:ascii="Arial" w:hAnsi="Arial" w:cs="Arial"/>
          <w:bCs/>
        </w:rPr>
        <w:t xml:space="preserve"> was the cyclic nitramine hexahydro-1</w:t>
      </w:r>
      <w:proofErr w:type="gramStart"/>
      <w:r w:rsidRPr="00AE054F">
        <w:rPr>
          <w:rFonts w:ascii="Arial" w:hAnsi="Arial" w:cs="Arial"/>
          <w:bCs/>
        </w:rPr>
        <w:t>,3,5</w:t>
      </w:r>
      <w:proofErr w:type="gramEnd"/>
      <w:r w:rsidRPr="00AE054F">
        <w:rPr>
          <w:rFonts w:ascii="Arial" w:hAnsi="Arial" w:cs="Arial"/>
          <w:bCs/>
        </w:rPr>
        <w:t>-trinitro-s-triazine, which is also known as RDX</w:t>
      </w:r>
      <w:r w:rsidR="00143758">
        <w:rPr>
          <w:rFonts w:ascii="Arial" w:hAnsi="Arial" w:cs="Arial"/>
          <w:bCs/>
        </w:rPr>
        <w:t xml:space="preserve"> or cyclonite. </w:t>
      </w:r>
      <w:r w:rsidRPr="00AE054F">
        <w:rPr>
          <w:rFonts w:ascii="Arial" w:hAnsi="Arial" w:cs="Arial"/>
          <w:bCs/>
        </w:rPr>
        <w:t xml:space="preserve">RDX has two stable polymorphs </w:t>
      </w:r>
      <w:r w:rsidR="00143758">
        <w:rPr>
          <w:rFonts w:ascii="Arial" w:hAnsi="Arial" w:cs="Arial"/>
          <w:bCs/>
        </w:rPr>
        <w:t xml:space="preserve">stable </w:t>
      </w:r>
      <w:r w:rsidRPr="00AE054F">
        <w:rPr>
          <w:rFonts w:ascii="Arial" w:hAnsi="Arial" w:cs="Arial"/>
          <w:bCs/>
        </w:rPr>
        <w:t>at room temperature (</w:t>
      </w:r>
      <w:r w:rsidR="00143758">
        <w:rPr>
          <w:rFonts w:ascii="Arial" w:hAnsi="Arial" w:cs="Arial"/>
          <w:bCs/>
        </w:rPr>
        <w:t xml:space="preserve">known as </w:t>
      </w:r>
      <w:proofErr w:type="gramStart"/>
      <w:r w:rsidR="00143758">
        <w:rPr>
          <w:rFonts w:ascii="Arial" w:hAnsi="Arial" w:cs="Arial"/>
          <w:bCs/>
        </w:rPr>
        <w:t xml:space="preserve">the </w:t>
      </w:r>
      <w:r w:rsidRPr="00AE054F">
        <w:rPr>
          <w:rFonts w:ascii="Arial" w:hAnsi="Arial" w:cs="Arial"/>
          <w:bCs/>
        </w:rPr>
        <w:t>α</w:t>
      </w:r>
      <w:proofErr w:type="gramEnd"/>
      <w:r w:rsidRPr="00AE054F">
        <w:rPr>
          <w:rFonts w:ascii="Arial" w:hAnsi="Arial" w:cs="Arial"/>
          <w:bCs/>
        </w:rPr>
        <w:t>- and β-</w:t>
      </w:r>
      <w:r w:rsidR="00143758">
        <w:rPr>
          <w:rFonts w:ascii="Arial" w:hAnsi="Arial" w:cs="Arial"/>
          <w:bCs/>
        </w:rPr>
        <w:t xml:space="preserve"> phases of RDX</w:t>
      </w:r>
      <w:r w:rsidRPr="00AE054F">
        <w:rPr>
          <w:rFonts w:ascii="Arial" w:hAnsi="Arial" w:cs="Arial"/>
          <w:bCs/>
        </w:rPr>
        <w:t xml:space="preserve">) which were </w:t>
      </w:r>
      <w:r w:rsidR="00143758">
        <w:rPr>
          <w:rFonts w:ascii="Arial" w:hAnsi="Arial" w:cs="Arial"/>
          <w:bCs/>
        </w:rPr>
        <w:t>generated</w:t>
      </w:r>
      <w:r w:rsidRPr="00AE054F">
        <w:rPr>
          <w:rFonts w:ascii="Arial" w:hAnsi="Arial" w:cs="Arial"/>
          <w:bCs/>
        </w:rPr>
        <w:t xml:space="preserve"> by a spin-coating methodology on stainless steel substrates. These spin-coated substrates differ in their </w:t>
      </w:r>
      <w:r>
        <w:rPr>
          <w:rFonts w:ascii="Arial" w:hAnsi="Arial" w:cs="Arial"/>
          <w:bCs/>
        </w:rPr>
        <w:t>spectra recorded</w:t>
      </w:r>
      <w:r w:rsidRPr="00AE054F">
        <w:rPr>
          <w:rFonts w:ascii="Arial" w:hAnsi="Arial" w:cs="Arial"/>
          <w:bCs/>
        </w:rPr>
        <w:t xml:space="preserve"> per increasing </w:t>
      </w:r>
      <w:r>
        <w:rPr>
          <w:rFonts w:ascii="Arial" w:hAnsi="Arial" w:cs="Arial"/>
          <w:bCs/>
        </w:rPr>
        <w:t>angular velocity</w:t>
      </w:r>
      <w:r w:rsidRPr="00AE054F">
        <w:rPr>
          <w:rFonts w:ascii="Arial" w:hAnsi="Arial" w:cs="Arial"/>
          <w:bCs/>
        </w:rPr>
        <w:t xml:space="preserve"> during each deposition.</w:t>
      </w:r>
      <w:r w:rsidR="008A3234">
        <w:rPr>
          <w:rFonts w:ascii="Arial" w:hAnsi="Arial" w:cs="Arial"/>
          <w:bCs/>
        </w:rPr>
        <w:t xml:space="preserve"> </w:t>
      </w:r>
      <w:proofErr w:type="gramStart"/>
      <w:r w:rsidRPr="00AE054F">
        <w:rPr>
          <w:rFonts w:ascii="Arial" w:hAnsi="Arial" w:cs="Arial"/>
          <w:bCs/>
        </w:rPr>
        <w:t>β-</w:t>
      </w:r>
      <w:r>
        <w:rPr>
          <w:rFonts w:ascii="Arial" w:hAnsi="Arial" w:cs="Arial"/>
          <w:bCs/>
        </w:rPr>
        <w:t>RDX</w:t>
      </w:r>
      <w:proofErr w:type="gramEnd"/>
      <w:r>
        <w:rPr>
          <w:rFonts w:ascii="Arial" w:hAnsi="Arial" w:cs="Arial"/>
          <w:bCs/>
        </w:rPr>
        <w:t xml:space="preserve"> has been reported to be difficult to obtain at room temperature since </w:t>
      </w:r>
      <w:r w:rsidRPr="00AE054F">
        <w:rPr>
          <w:rFonts w:ascii="Arial" w:hAnsi="Arial" w:cs="Arial"/>
          <w:bCs/>
        </w:rPr>
        <w:t>α</w:t>
      </w:r>
      <w:r>
        <w:rPr>
          <w:rFonts w:ascii="Arial" w:hAnsi="Arial" w:cs="Arial"/>
          <w:bCs/>
        </w:rPr>
        <w:t>-RDX is the most stable form.</w:t>
      </w:r>
      <w:r w:rsidRPr="00AE054F">
        <w:rPr>
          <w:rFonts w:ascii="Arial" w:hAnsi="Arial" w:cs="Arial"/>
          <w:bCs/>
        </w:rPr>
        <w:t xml:space="preserve"> Reflection-absorption infrared spectroscopy measurements for these coated surfaces were able to distinguish these conformational polymorphs in a large surface area of the substrate</w:t>
      </w:r>
      <w:r w:rsidR="00143758">
        <w:rPr>
          <w:rFonts w:ascii="Arial" w:hAnsi="Arial" w:cs="Arial"/>
          <w:bCs/>
        </w:rPr>
        <w:t>s</w:t>
      </w:r>
      <w:r w:rsidRPr="00AE054F">
        <w:rPr>
          <w:rFonts w:ascii="Arial" w:hAnsi="Arial" w:cs="Arial"/>
          <w:bCs/>
        </w:rPr>
        <w:t xml:space="preserve">. Raman spectroscopy was employed to </w:t>
      </w:r>
      <w:r w:rsidR="00143758">
        <w:rPr>
          <w:rFonts w:ascii="Arial" w:hAnsi="Arial" w:cs="Arial"/>
          <w:bCs/>
        </w:rPr>
        <w:t>image a small</w:t>
      </w:r>
      <w:r w:rsidRPr="00AE054F">
        <w:rPr>
          <w:rFonts w:ascii="Arial" w:hAnsi="Arial" w:cs="Arial"/>
          <w:bCs/>
        </w:rPr>
        <w:t xml:space="preserve"> area within three different crystal structures </w:t>
      </w:r>
      <w:r w:rsidR="00143758" w:rsidRPr="00AE054F">
        <w:rPr>
          <w:rFonts w:ascii="Arial" w:hAnsi="Arial" w:cs="Arial"/>
          <w:bCs/>
        </w:rPr>
        <w:t>reported in literature of RDX</w:t>
      </w:r>
      <w:r w:rsidR="00143758">
        <w:rPr>
          <w:rFonts w:ascii="Arial" w:hAnsi="Arial" w:cs="Arial"/>
          <w:bCs/>
        </w:rPr>
        <w:t xml:space="preserve">: </w:t>
      </w:r>
      <w:r w:rsidRPr="00AE054F">
        <w:rPr>
          <w:rFonts w:ascii="Arial" w:hAnsi="Arial" w:cs="Arial"/>
          <w:bCs/>
        </w:rPr>
        <w:t xml:space="preserve">islands, </w:t>
      </w:r>
      <w:r w:rsidR="00143758" w:rsidRPr="00AE054F">
        <w:rPr>
          <w:rFonts w:ascii="Arial" w:hAnsi="Arial" w:cs="Arial"/>
          <w:bCs/>
        </w:rPr>
        <w:t>dendrites</w:t>
      </w:r>
      <w:r w:rsidRPr="00AE054F">
        <w:rPr>
          <w:rFonts w:ascii="Arial" w:hAnsi="Arial" w:cs="Arial"/>
          <w:bCs/>
        </w:rPr>
        <w:t xml:space="preserve"> </w:t>
      </w:r>
      <w:r w:rsidR="00143758">
        <w:rPr>
          <w:rFonts w:ascii="Arial" w:hAnsi="Arial" w:cs="Arial"/>
          <w:bCs/>
        </w:rPr>
        <w:t xml:space="preserve">and </w:t>
      </w:r>
      <w:r w:rsidRPr="00AE054F">
        <w:rPr>
          <w:rFonts w:ascii="Arial" w:hAnsi="Arial" w:cs="Arial"/>
          <w:bCs/>
        </w:rPr>
        <w:t>prism</w:t>
      </w:r>
      <w:r w:rsidR="00143758">
        <w:rPr>
          <w:rFonts w:ascii="Arial" w:hAnsi="Arial" w:cs="Arial"/>
          <w:bCs/>
        </w:rPr>
        <w:t>s</w:t>
      </w:r>
      <w:r w:rsidRPr="00AE054F">
        <w:rPr>
          <w:rFonts w:ascii="Arial" w:hAnsi="Arial" w:cs="Arial"/>
          <w:bCs/>
        </w:rPr>
        <w:t xml:space="preserve">. By employing principal component analysis, </w:t>
      </w:r>
      <w:r w:rsidR="00143758" w:rsidRPr="00AE054F">
        <w:rPr>
          <w:rFonts w:ascii="Arial" w:hAnsi="Arial" w:cs="Arial"/>
          <w:bCs/>
        </w:rPr>
        <w:t xml:space="preserve">spectral findings </w:t>
      </w:r>
      <w:r w:rsidR="00143758">
        <w:rPr>
          <w:rFonts w:ascii="Arial" w:hAnsi="Arial" w:cs="Arial"/>
          <w:bCs/>
        </w:rPr>
        <w:t xml:space="preserve">were </w:t>
      </w:r>
      <w:r w:rsidRPr="00AE054F">
        <w:rPr>
          <w:rFonts w:ascii="Arial" w:hAnsi="Arial" w:cs="Arial"/>
          <w:bCs/>
        </w:rPr>
        <w:t>validate</w:t>
      </w:r>
      <w:r w:rsidR="00143758">
        <w:rPr>
          <w:rFonts w:ascii="Arial" w:hAnsi="Arial" w:cs="Arial"/>
          <w:bCs/>
        </w:rPr>
        <w:t>d</w:t>
      </w:r>
      <w:r w:rsidRPr="00AE054F">
        <w:rPr>
          <w:rFonts w:ascii="Arial" w:hAnsi="Arial" w:cs="Arial"/>
          <w:bCs/>
        </w:rPr>
        <w:t xml:space="preserve"> both </w:t>
      </w:r>
      <w:r w:rsidR="00143758" w:rsidRPr="00AE054F">
        <w:rPr>
          <w:rFonts w:ascii="Arial" w:hAnsi="Arial" w:cs="Arial"/>
          <w:bCs/>
        </w:rPr>
        <w:t xml:space="preserve">for </w:t>
      </w:r>
      <w:r w:rsidRPr="00AE054F">
        <w:rPr>
          <w:rFonts w:ascii="Arial" w:hAnsi="Arial" w:cs="Arial"/>
          <w:bCs/>
        </w:rPr>
        <w:t>Infrared and Raman spectra of these RDX polymorphic structures. Our results from these spectra provide good correlation with calculated values reported in literature. Finally, characterization of these structures by atomic force microscopy is provided due to a marked intensity variation in R</w:t>
      </w:r>
      <w:r w:rsidR="00143758">
        <w:rPr>
          <w:rFonts w:ascii="Arial" w:hAnsi="Arial" w:cs="Arial"/>
          <w:bCs/>
        </w:rPr>
        <w:t xml:space="preserve">aman spectra for all samples.  </w:t>
      </w:r>
      <w:r>
        <w:rPr>
          <w:rFonts w:ascii="Arial" w:hAnsi="Arial" w:cs="Arial"/>
          <w:bCs/>
        </w:rPr>
        <w:t xml:space="preserve">Consequently, </w:t>
      </w:r>
      <w:r w:rsidR="00143758">
        <w:rPr>
          <w:rFonts w:ascii="Arial" w:hAnsi="Arial" w:cs="Arial"/>
          <w:bCs/>
        </w:rPr>
        <w:t xml:space="preserve">it is important to </w:t>
      </w:r>
      <w:r>
        <w:rPr>
          <w:rFonts w:ascii="Arial" w:hAnsi="Arial" w:cs="Arial"/>
          <w:bCs/>
        </w:rPr>
        <w:t>optimiz</w:t>
      </w:r>
      <w:r w:rsidR="00143758">
        <w:rPr>
          <w:rFonts w:ascii="Arial" w:hAnsi="Arial" w:cs="Arial"/>
          <w:bCs/>
        </w:rPr>
        <w:t>e the</w:t>
      </w:r>
      <w:r>
        <w:rPr>
          <w:rFonts w:ascii="Arial" w:hAnsi="Arial" w:cs="Arial"/>
          <w:bCs/>
        </w:rPr>
        <w:t xml:space="preserve"> conditions </w:t>
      </w:r>
      <w:r w:rsidR="00143758">
        <w:rPr>
          <w:rFonts w:ascii="Arial" w:hAnsi="Arial" w:cs="Arial"/>
          <w:bCs/>
        </w:rPr>
        <w:t xml:space="preserve">required </w:t>
      </w:r>
      <w:r>
        <w:rPr>
          <w:rFonts w:ascii="Arial" w:hAnsi="Arial" w:cs="Arial"/>
          <w:bCs/>
        </w:rPr>
        <w:t xml:space="preserve">to </w:t>
      </w:r>
      <w:r w:rsidR="00143758">
        <w:rPr>
          <w:rFonts w:ascii="Arial" w:hAnsi="Arial" w:cs="Arial"/>
          <w:bCs/>
        </w:rPr>
        <w:t>generate</w:t>
      </w:r>
      <w:r>
        <w:rPr>
          <w:rFonts w:ascii="Arial" w:hAnsi="Arial" w:cs="Arial"/>
          <w:bCs/>
        </w:rPr>
        <w:t xml:space="preserve"> only </w:t>
      </w:r>
      <w:r w:rsidRPr="00AE054F">
        <w:rPr>
          <w:rFonts w:ascii="Arial" w:hAnsi="Arial" w:cs="Arial"/>
          <w:bCs/>
        </w:rPr>
        <w:t>β</w:t>
      </w:r>
      <w:r>
        <w:rPr>
          <w:rFonts w:ascii="Arial" w:hAnsi="Arial" w:cs="Arial"/>
          <w:bCs/>
        </w:rPr>
        <w:t xml:space="preserve">-RDX films </w:t>
      </w:r>
      <w:r w:rsidR="00143758">
        <w:rPr>
          <w:rFonts w:ascii="Arial" w:hAnsi="Arial" w:cs="Arial"/>
          <w:bCs/>
        </w:rPr>
        <w:t xml:space="preserve">at </w:t>
      </w:r>
      <w:r>
        <w:rPr>
          <w:rFonts w:ascii="Arial" w:hAnsi="Arial" w:cs="Arial"/>
          <w:bCs/>
        </w:rPr>
        <w:t>all angular velocities on these substrates.</w:t>
      </w:r>
    </w:p>
    <w:p w:rsidR="00DC39C3" w:rsidRPr="00AE054F" w:rsidRDefault="00DC39C3" w:rsidP="00DC39C3">
      <w:pPr>
        <w:spacing w:line="240" w:lineRule="auto"/>
        <w:jc w:val="both"/>
        <w:rPr>
          <w:rFonts w:ascii="Arial" w:hAnsi="Arial" w:cs="Arial"/>
          <w:bCs/>
        </w:rPr>
      </w:pPr>
    </w:p>
    <w:p w:rsidR="00C91165" w:rsidRDefault="00DC39C3" w:rsidP="00DC39C3">
      <w:pPr>
        <w:spacing w:line="240" w:lineRule="auto"/>
        <w:jc w:val="both"/>
      </w:pPr>
      <w:r w:rsidRPr="00AE054F">
        <w:rPr>
          <w:rFonts w:ascii="Arial" w:hAnsi="Arial" w:cs="Arial"/>
          <w:bCs/>
          <w:i/>
        </w:rPr>
        <w:t xml:space="preserve">Keywords: </w:t>
      </w:r>
      <w:r w:rsidRPr="00AE054F">
        <w:rPr>
          <w:rFonts w:ascii="Arial" w:hAnsi="Arial" w:cs="Arial"/>
          <w:bCs/>
        </w:rPr>
        <w:t xml:space="preserve">  </w:t>
      </w:r>
      <w:r w:rsidRPr="00AE054F">
        <w:rPr>
          <w:rFonts w:ascii="Arial" w:hAnsi="Arial" w:cs="Arial"/>
          <w:bCs/>
          <w:i/>
        </w:rPr>
        <w:t xml:space="preserve">Energetic </w:t>
      </w:r>
      <w:r w:rsidR="00143758">
        <w:rPr>
          <w:rFonts w:ascii="Arial" w:hAnsi="Arial" w:cs="Arial"/>
          <w:bCs/>
          <w:i/>
        </w:rPr>
        <w:t>m</w:t>
      </w:r>
      <w:r w:rsidRPr="00AE054F">
        <w:rPr>
          <w:rFonts w:ascii="Arial" w:hAnsi="Arial" w:cs="Arial"/>
          <w:bCs/>
          <w:i/>
        </w:rPr>
        <w:t>aterial</w:t>
      </w:r>
      <w:r w:rsidR="00143758">
        <w:rPr>
          <w:rFonts w:ascii="Arial" w:hAnsi="Arial" w:cs="Arial"/>
          <w:bCs/>
          <w:i/>
        </w:rPr>
        <w:t>s</w:t>
      </w:r>
      <w:r w:rsidRPr="00AE054F">
        <w:rPr>
          <w:rFonts w:ascii="Arial" w:hAnsi="Arial" w:cs="Arial"/>
          <w:bCs/>
          <w:i/>
        </w:rPr>
        <w:t xml:space="preserve"> </w:t>
      </w:r>
      <w:r w:rsidR="00143758">
        <w:rPr>
          <w:rFonts w:ascii="Arial" w:hAnsi="Arial" w:cs="Arial"/>
          <w:bCs/>
          <w:i/>
        </w:rPr>
        <w:t>p</w:t>
      </w:r>
      <w:r w:rsidRPr="00AE054F">
        <w:rPr>
          <w:rFonts w:ascii="Arial" w:hAnsi="Arial" w:cs="Arial"/>
          <w:bCs/>
          <w:i/>
        </w:rPr>
        <w:t xml:space="preserve">olymorphism, </w:t>
      </w:r>
      <w:r w:rsidR="00143758">
        <w:rPr>
          <w:rFonts w:ascii="Arial" w:hAnsi="Arial" w:cs="Arial"/>
          <w:bCs/>
          <w:i/>
        </w:rPr>
        <w:t>spin coating methodologies, r</w:t>
      </w:r>
      <w:r w:rsidRPr="00AE054F">
        <w:rPr>
          <w:rFonts w:ascii="Arial" w:hAnsi="Arial" w:cs="Arial"/>
          <w:bCs/>
          <w:i/>
        </w:rPr>
        <w:t xml:space="preserve">eflection-absorption </w:t>
      </w:r>
      <w:r w:rsidR="00143758">
        <w:rPr>
          <w:rFonts w:ascii="Arial" w:hAnsi="Arial" w:cs="Arial"/>
          <w:bCs/>
          <w:i/>
        </w:rPr>
        <w:t>i</w:t>
      </w:r>
      <w:r w:rsidRPr="00AE054F">
        <w:rPr>
          <w:rFonts w:ascii="Arial" w:hAnsi="Arial" w:cs="Arial"/>
          <w:bCs/>
          <w:i/>
        </w:rPr>
        <w:t xml:space="preserve">nfrared </w:t>
      </w:r>
      <w:r w:rsidR="00143758">
        <w:rPr>
          <w:rFonts w:ascii="Arial" w:hAnsi="Arial" w:cs="Arial"/>
          <w:bCs/>
          <w:i/>
        </w:rPr>
        <w:t>s</w:t>
      </w:r>
      <w:r w:rsidRPr="00AE054F">
        <w:rPr>
          <w:rFonts w:ascii="Arial" w:hAnsi="Arial" w:cs="Arial"/>
          <w:bCs/>
          <w:i/>
        </w:rPr>
        <w:t xml:space="preserve">pectroscopy, Raman </w:t>
      </w:r>
      <w:r w:rsidR="00143758">
        <w:rPr>
          <w:rFonts w:ascii="Arial" w:hAnsi="Arial" w:cs="Arial"/>
          <w:bCs/>
          <w:i/>
        </w:rPr>
        <w:t>s</w:t>
      </w:r>
      <w:r w:rsidRPr="00AE054F">
        <w:rPr>
          <w:rFonts w:ascii="Arial" w:hAnsi="Arial" w:cs="Arial"/>
          <w:bCs/>
          <w:i/>
        </w:rPr>
        <w:t>pect</w:t>
      </w:r>
      <w:r>
        <w:rPr>
          <w:rFonts w:ascii="Arial" w:hAnsi="Arial" w:cs="Arial"/>
          <w:bCs/>
          <w:i/>
        </w:rPr>
        <w:t xml:space="preserve">roscopy, </w:t>
      </w:r>
      <w:r w:rsidR="00143758">
        <w:rPr>
          <w:rFonts w:ascii="Arial" w:hAnsi="Arial" w:cs="Arial"/>
          <w:bCs/>
          <w:i/>
        </w:rPr>
        <w:t>a</w:t>
      </w:r>
      <w:r>
        <w:rPr>
          <w:rFonts w:ascii="Arial" w:hAnsi="Arial" w:cs="Arial"/>
          <w:bCs/>
          <w:i/>
        </w:rPr>
        <w:t xml:space="preserve">tomic </w:t>
      </w:r>
      <w:r w:rsidR="00143758">
        <w:rPr>
          <w:rFonts w:ascii="Arial" w:hAnsi="Arial" w:cs="Arial"/>
          <w:bCs/>
          <w:i/>
        </w:rPr>
        <w:t>f</w:t>
      </w:r>
      <w:r>
        <w:rPr>
          <w:rFonts w:ascii="Arial" w:hAnsi="Arial" w:cs="Arial"/>
          <w:bCs/>
          <w:i/>
        </w:rPr>
        <w:t xml:space="preserve">orce </w:t>
      </w:r>
      <w:r w:rsidR="00143758">
        <w:rPr>
          <w:rFonts w:ascii="Arial" w:hAnsi="Arial" w:cs="Arial"/>
          <w:bCs/>
          <w:i/>
        </w:rPr>
        <w:t>m</w:t>
      </w:r>
      <w:r>
        <w:rPr>
          <w:rFonts w:ascii="Arial" w:hAnsi="Arial" w:cs="Arial"/>
          <w:bCs/>
          <w:i/>
        </w:rPr>
        <w:t>icroscopy</w:t>
      </w:r>
    </w:p>
    <w:sectPr w:rsidR="00C91165">
      <w:headerReference w:type="default" r:id="rId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B00" w:rsidRDefault="00CC4B00">
      <w:pPr>
        <w:spacing w:line="240" w:lineRule="auto"/>
      </w:pPr>
      <w:r>
        <w:separator/>
      </w:r>
    </w:p>
  </w:endnote>
  <w:endnote w:type="continuationSeparator" w:id="0">
    <w:p w:rsidR="00CC4B00" w:rsidRDefault="00CC4B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829" w:rsidRDefault="00DC39C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757829" w:rsidRDefault="00CC4B00">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829" w:rsidRDefault="00DC39C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054F1">
      <w:rPr>
        <w:rStyle w:val="Nmerodepgina"/>
        <w:noProof/>
      </w:rPr>
      <w:t>1</w:t>
    </w:r>
    <w:r>
      <w:rPr>
        <w:rStyle w:val="Nmerodepgina"/>
      </w:rPr>
      <w:fldChar w:fldCharType="end"/>
    </w:r>
  </w:p>
  <w:p w:rsidR="00757829" w:rsidRDefault="00CC4B00">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B00" w:rsidRDefault="00CC4B00">
      <w:pPr>
        <w:spacing w:line="240" w:lineRule="auto"/>
      </w:pPr>
      <w:r>
        <w:separator/>
      </w:r>
    </w:p>
  </w:footnote>
  <w:footnote w:type="continuationSeparator" w:id="0">
    <w:p w:rsidR="00CC4B00" w:rsidRDefault="00CC4B0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5AF" w:rsidRPr="008A3234" w:rsidRDefault="00DC39C3" w:rsidP="00C855AF">
    <w:pPr>
      <w:jc w:val="center"/>
      <w:rPr>
        <w:rFonts w:ascii="Arial" w:hAnsi="Arial" w:cs="Arial"/>
        <w:b/>
        <w:color w:val="000000" w:themeColor="text1"/>
        <w:sz w:val="28"/>
        <w:szCs w:val="28"/>
        <w14:shadow w14:blurRad="50800" w14:dist="38100" w14:dir="2700000" w14:sx="100000" w14:sy="100000" w14:kx="0" w14:ky="0" w14:algn="tl">
          <w14:srgbClr w14:val="000000">
            <w14:alpha w14:val="60000"/>
          </w14:srgbClr>
        </w14:shadow>
      </w:rPr>
    </w:pPr>
    <w:r w:rsidRPr="008A3234">
      <w:rPr>
        <w:rFonts w:ascii="Arial" w:hAnsi="Arial" w:cs="Arial"/>
        <w:noProof/>
        <w:color w:val="000000" w:themeColor="text1"/>
      </w:rPr>
      <w:drawing>
        <wp:anchor distT="0" distB="0" distL="114300" distR="114300" simplePos="0" relativeHeight="251660288" behindDoc="0" locked="0" layoutInCell="1" allowOverlap="1" wp14:anchorId="7AD4853B" wp14:editId="460813BB">
          <wp:simplePos x="0" y="0"/>
          <wp:positionH relativeFrom="column">
            <wp:posOffset>-870314</wp:posOffset>
          </wp:positionH>
          <wp:positionV relativeFrom="paragraph">
            <wp:posOffset>-185991</wp:posOffset>
          </wp:positionV>
          <wp:extent cx="808990" cy="808990"/>
          <wp:effectExtent l="0" t="0" r="0" b="0"/>
          <wp:wrapNone/>
          <wp:docPr id="42" name="Picture 1" descr="ALE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ER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8990" cy="808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3234">
      <w:rPr>
        <w:rFonts w:ascii="Arial" w:hAnsi="Arial" w:cs="Arial"/>
        <w:b/>
        <w:noProof/>
        <w:color w:val="000000" w:themeColor="text1"/>
        <w:sz w:val="28"/>
        <w:szCs w:val="28"/>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3EE9CAF8" wp14:editId="2A1C645C">
          <wp:simplePos x="0" y="0"/>
          <wp:positionH relativeFrom="column">
            <wp:posOffset>5703570</wp:posOffset>
          </wp:positionH>
          <wp:positionV relativeFrom="paragraph">
            <wp:posOffset>-250825</wp:posOffset>
          </wp:positionV>
          <wp:extent cx="934085" cy="925195"/>
          <wp:effectExtent l="0" t="0" r="0" b="8255"/>
          <wp:wrapNone/>
          <wp:docPr id="22" name="Picture 1" descr="Logo%20CCSDE%20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0CCSDE%20TIf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4085" cy="925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3234">
      <w:rPr>
        <w:rFonts w:ascii="Arial" w:hAnsi="Arial" w:cs="Arial"/>
        <w:b/>
        <w:color w:val="000000" w:themeColor="text1"/>
        <w:sz w:val="28"/>
        <w:szCs w:val="28"/>
        <w14:shadow w14:blurRad="50800" w14:dist="38100" w14:dir="2700000" w14:sx="100000" w14:sy="100000" w14:kx="0" w14:ky="0" w14:algn="tl">
          <w14:srgbClr w14:val="000000">
            <w14:alpha w14:val="60000"/>
          </w14:srgbClr>
        </w14:shadow>
      </w:rPr>
      <w:t>CENTER FOR CHEMICAL SENSORS DEVELOPMENT</w:t>
    </w:r>
  </w:p>
  <w:p w:rsidR="00C855AF" w:rsidRPr="008A3234" w:rsidRDefault="00DC39C3" w:rsidP="00AE054F">
    <w:pPr>
      <w:jc w:val="center"/>
      <w:rPr>
        <w:rFonts w:ascii="Arial" w:hAnsi="Arial" w:cs="Arial"/>
        <w:b/>
        <w:color w:val="000000" w:themeColor="text1"/>
        <w:sz w:val="28"/>
        <w:szCs w:val="28"/>
        <w14:shadow w14:blurRad="50800" w14:dist="38100" w14:dir="2700000" w14:sx="100000" w14:sy="100000" w14:kx="0" w14:ky="0" w14:algn="tl">
          <w14:srgbClr w14:val="000000">
            <w14:alpha w14:val="60000"/>
          </w14:srgbClr>
        </w14:shadow>
      </w:rPr>
    </w:pPr>
    <w:r w:rsidRPr="008A3234">
      <w:rPr>
        <w:rFonts w:ascii="Arial" w:hAnsi="Arial" w:cs="Arial"/>
        <w:b/>
        <w:color w:val="000000" w:themeColor="text1"/>
        <w:sz w:val="28"/>
        <w:szCs w:val="28"/>
        <w14:shadow w14:blurRad="50800" w14:dist="38100" w14:dir="2700000" w14:sx="100000" w14:sy="100000" w14:kx="0" w14:ky="0" w14:algn="tl">
          <w14:srgbClr w14:val="000000">
            <w14:alpha w14:val="60000"/>
          </w14:srgbClr>
        </w14:shadow>
      </w:rPr>
      <w:t>CHEMICAL IMAGING CENTER / ALERT-DHS-NEU-UPRM-COE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9C3"/>
    <w:rsid w:val="000054F1"/>
    <w:rsid w:val="00143758"/>
    <w:rsid w:val="00891F55"/>
    <w:rsid w:val="008A3234"/>
    <w:rsid w:val="00A53B27"/>
    <w:rsid w:val="00C91165"/>
    <w:rsid w:val="00CC4B00"/>
    <w:rsid w:val="00DC3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C2B507-2EB4-4D11-B8B9-7AD2AA46B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9C3"/>
    <w:pPr>
      <w:spacing w:after="0" w:line="48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DC39C3"/>
    <w:pPr>
      <w:tabs>
        <w:tab w:val="center" w:pos="4320"/>
        <w:tab w:val="right" w:pos="8640"/>
      </w:tabs>
    </w:pPr>
  </w:style>
  <w:style w:type="character" w:customStyle="1" w:styleId="PiedepginaCar">
    <w:name w:val="Pie de página Car"/>
    <w:basedOn w:val="Fuentedeprrafopredeter"/>
    <w:link w:val="Piedepgina"/>
    <w:rsid w:val="00DC39C3"/>
    <w:rPr>
      <w:rFonts w:ascii="Times New Roman" w:eastAsia="Times New Roman" w:hAnsi="Times New Roman" w:cs="Times New Roman"/>
      <w:sz w:val="24"/>
      <w:szCs w:val="24"/>
    </w:rPr>
  </w:style>
  <w:style w:type="character" w:styleId="Nmerodepgina">
    <w:name w:val="page number"/>
    <w:basedOn w:val="Fuentedeprrafopredeter"/>
    <w:rsid w:val="00DC39C3"/>
  </w:style>
  <w:style w:type="character" w:styleId="Hipervnculo">
    <w:name w:val="Hyperlink"/>
    <w:basedOn w:val="Fuentedeprrafopredeter"/>
    <w:uiPriority w:val="99"/>
    <w:unhideWhenUsed/>
    <w:rsid w:val="00DC39C3"/>
    <w:rPr>
      <w:color w:val="0563C1" w:themeColor="hyperlink"/>
      <w:u w:val="single"/>
    </w:rPr>
  </w:style>
  <w:style w:type="paragraph" w:styleId="Encabezado">
    <w:name w:val="header"/>
    <w:basedOn w:val="Normal"/>
    <w:link w:val="EncabezadoCar"/>
    <w:uiPriority w:val="99"/>
    <w:unhideWhenUsed/>
    <w:rsid w:val="008A323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8A323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uel.hernandez3@upr.ed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jose.ruiz9@upr.ed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manda.figueroa@upr.edu"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1700</Characters>
  <Application>Microsoft Office Word</Application>
  <DocSecurity>0</DocSecurity>
  <Lines>14</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F Nav</dc:creator>
  <cp:keywords/>
  <dc:description/>
  <cp:lastModifiedBy>Amanda F Nav</cp:lastModifiedBy>
  <cp:revision>2</cp:revision>
  <dcterms:created xsi:type="dcterms:W3CDTF">2014-10-05T16:57:00Z</dcterms:created>
  <dcterms:modified xsi:type="dcterms:W3CDTF">2014-10-05T16:57:00Z</dcterms:modified>
</cp:coreProperties>
</file>