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5D4" w:rsidRDefault="003C67AC">
      <w:r>
        <w:t xml:space="preserve">In a variety of biomedical research fields, cultured mammalian cells are often used as models to </w:t>
      </w:r>
      <w:proofErr w:type="gramStart"/>
      <w:r>
        <w:t>study  a</w:t>
      </w:r>
      <w:proofErr w:type="gramEnd"/>
      <w:r>
        <w:t xml:space="preserve"> variety of intracellular or extracellular responses, perturbations, and features.  Flow cytometers are powerful tools in this endeavor.  A flow cytometer works by passing cells through a focused laser beam, and as the cell passes through the laser, the flow cytometer will collect scattered and fluorescent light that is emitted.  The amount of fluorescence and scattered light intensity is used to determine features such as cell morphology, size, and biochemical and molecular changes.  Cytometers are prevalent in clinics where peripheral blood cell (WBC) counting is vital for the prognosis of various immune disorders.  The count of a </w:t>
      </w:r>
      <w:proofErr w:type="gramStart"/>
      <w:r>
        <w:t>person’s  WBCs</w:t>
      </w:r>
      <w:proofErr w:type="gramEnd"/>
      <w:r>
        <w:t xml:space="preserve">, or leukocytes provides an assessment of the body’s response to infection.  Because there are a number of different </w:t>
      </w:r>
      <w:proofErr w:type="gramStart"/>
      <w:r>
        <w:t>WBCs ,</w:t>
      </w:r>
      <w:proofErr w:type="gramEnd"/>
      <w:r>
        <w:t xml:space="preserve"> the standard cell counting assay requires a certain level of complexity whereby multiple fluorescent molecules are tagged to the population of leukocytes.  This will allow the cytometer to differentiate among each WBC type because each will emit a particular fluorescence color.  In order to alleviate challenges that occur in </w:t>
      </w:r>
      <w:proofErr w:type="spellStart"/>
      <w:r>
        <w:t>cytometry</w:t>
      </w:r>
      <w:proofErr w:type="spellEnd"/>
      <w:r>
        <w:t xml:space="preserve"> when multiple fluorescent species are used (e.g. spectral overlap and spillover) our laboratory is leading efforts in innovative uses for fluorescence lifetime-dependent cell counting. The fluorescent lifetime is defined as the average time for an excited molecule to return to its original ground state and emit fluorescent photons.  The fluorescence lifetime is independent of </w:t>
      </w:r>
      <w:proofErr w:type="spellStart"/>
      <w:r>
        <w:t>fluorophore</w:t>
      </w:r>
      <w:proofErr w:type="spellEnd"/>
      <w:r>
        <w:t xml:space="preserve"> concentration and therefore will eliminate issues with spectral overlap.  In this study we compare standard intensity-based </w:t>
      </w:r>
      <w:proofErr w:type="spellStart"/>
      <w:r>
        <w:t>cytometry</w:t>
      </w:r>
      <w:proofErr w:type="spellEnd"/>
      <w:r>
        <w:t xml:space="preserve"> with fluorescence lifetime-dependent </w:t>
      </w:r>
      <w:proofErr w:type="spellStart"/>
      <w:r>
        <w:t>cytometry</w:t>
      </w:r>
      <w:proofErr w:type="spellEnd"/>
      <w:r>
        <w:t xml:space="preserve"> by replicating the WBC count assay. We use mouse peripheral blood and label the leukocytes with fluorescently labeled antibodies. We count the WBC population (CD45+, CD8a+, CD3+, and CD4+) and determine if the fluorescence lifetime parameter provides more quantitative WBC counts</w:t>
      </w:r>
      <w:r>
        <w:t>.</w:t>
      </w:r>
    </w:p>
    <w:p w:rsidR="004444A9" w:rsidRDefault="004444A9"/>
    <w:p w:rsidR="004444A9" w:rsidRDefault="004444A9">
      <w:r>
        <w:t>Our laboratory’s objective is to show that fluorescence lifetime is a novel way to improve the accuracy of clinical counting of leukocytes. Because leukocytes are essential to the body’s immune defense having an accurate and timely way to evaluate the amount and type of leukocytes in your body’s blood stream could prove significant in the prognosis of immune disorders.</w:t>
      </w:r>
      <w:bookmarkStart w:id="0" w:name="_GoBack"/>
      <w:bookmarkEnd w:id="0"/>
    </w:p>
    <w:p w:rsidR="003C67AC" w:rsidRDefault="003C67AC"/>
    <w:p w:rsidR="003C67AC" w:rsidRPr="003C67AC" w:rsidRDefault="003C67AC" w:rsidP="003C67AC">
      <w:r>
        <w:t xml:space="preserve">In order to accomplish this objective </w:t>
      </w:r>
      <w:r w:rsidRPr="003C67AC">
        <w:t xml:space="preserve">Peripheral mouse blood was purchased from </w:t>
      </w:r>
      <w:proofErr w:type="spellStart"/>
      <w:r w:rsidRPr="003C67AC">
        <w:t>Bioreclamation</w:t>
      </w:r>
      <w:proofErr w:type="spellEnd"/>
      <w:r w:rsidRPr="003C67AC">
        <w:t>.  The blood was then lysed using a solution of NH4Cl, EDTA, Sodium bicarbonate dissolve in d</w:t>
      </w:r>
      <w:r>
        <w:t>istilled</w:t>
      </w:r>
      <w:r w:rsidRPr="003C67AC">
        <w:t xml:space="preserve"> water in a protocol published by Santa Cruz Biotech.</w:t>
      </w:r>
      <w:r>
        <w:t xml:space="preserve"> The peripheral mouse blood is then added to the solution of the lysing agent incubated at room temperature and then centrifuged.</w:t>
      </w:r>
      <w:r w:rsidRPr="003C67AC">
        <w:t xml:space="preserve"> After the blood has been lysed the white blood cells that are left are </w:t>
      </w:r>
      <w:r>
        <w:t>re-</w:t>
      </w:r>
      <w:r w:rsidRPr="003C67AC">
        <w:t>suspended in PBS</w:t>
      </w:r>
      <w:r>
        <w:t xml:space="preserve"> and then centrifuged again. After centrifugation</w:t>
      </w:r>
      <w:r w:rsidRPr="003C67AC">
        <w:t xml:space="preserve"> different fluorescent antibodies were added to different cluster of </w:t>
      </w:r>
      <w:proofErr w:type="spellStart"/>
      <w:r w:rsidRPr="003C67AC">
        <w:t>differentions</w:t>
      </w:r>
      <w:proofErr w:type="spellEnd"/>
      <w:r w:rsidRPr="003C67AC">
        <w:t xml:space="preserve"> (CD) within the cells.  CD3</w:t>
      </w:r>
      <w:r>
        <w:t>+</w:t>
      </w:r>
      <w:r w:rsidRPr="003C67AC">
        <w:t>, CD4</w:t>
      </w:r>
      <w:r>
        <w:t>+</w:t>
      </w:r>
      <w:r w:rsidRPr="003C67AC">
        <w:t>, CD8a</w:t>
      </w:r>
      <w:r>
        <w:t>+</w:t>
      </w:r>
      <w:r w:rsidRPr="003C67AC">
        <w:t xml:space="preserve"> and CD45</w:t>
      </w:r>
      <w:r>
        <w:t>+</w:t>
      </w:r>
      <w:r w:rsidRPr="003C67AC">
        <w:t xml:space="preserve"> were </w:t>
      </w:r>
      <w:r w:rsidR="0051782C" w:rsidRPr="003C67AC">
        <w:t>labeled</w:t>
      </w:r>
      <w:r w:rsidRPr="003C67AC">
        <w:t xml:space="preserve"> with different fluorescent antibodies</w:t>
      </w:r>
      <w:r w:rsidR="0051782C">
        <w:t>. CD3+ was labeled with FITC, CD4+ was labeled with PE, CD8a+ was labeled with PE Cy5 and CD45+ was labeled with PE Cy7</w:t>
      </w:r>
      <w:r w:rsidRPr="003C67AC">
        <w:t xml:space="preserve">. </w:t>
      </w:r>
      <w:r>
        <w:t xml:space="preserve">The fluorescent cells were then run on a flow cytometer called an </w:t>
      </w:r>
      <w:proofErr w:type="spellStart"/>
      <w:r>
        <w:t>Accuri</w:t>
      </w:r>
      <w:proofErr w:type="spellEnd"/>
      <w:r>
        <w:t xml:space="preserve">, which is similar to clinical flow cytometers, and compared to published results. Once the protocol was consistent with the publications </w:t>
      </w:r>
      <w:proofErr w:type="gramStart"/>
      <w:r>
        <w:t xml:space="preserve">the </w:t>
      </w:r>
      <w:r w:rsidR="0051782C">
        <w:t xml:space="preserve"> fluorescent</w:t>
      </w:r>
      <w:proofErr w:type="gramEnd"/>
      <w:r w:rsidR="0051782C">
        <w:t xml:space="preserve"> antibodies were run on a Vantage Flow Cytometer modified to </w:t>
      </w:r>
      <w:r w:rsidR="0051782C">
        <w:lastRenderedPageBreak/>
        <w:t>measure fluorescence lifetime</w:t>
      </w:r>
      <w:r w:rsidRPr="003C67AC">
        <w:t>.</w:t>
      </w:r>
      <w:r>
        <w:t xml:space="preserve"> A data analysis technique called a </w:t>
      </w:r>
      <w:proofErr w:type="spellStart"/>
      <w:r>
        <w:t>Phasor</w:t>
      </w:r>
      <w:proofErr w:type="spellEnd"/>
      <w:r>
        <w:t xml:space="preserve"> Plot was used to interpret the lifetime data.</w:t>
      </w:r>
    </w:p>
    <w:p w:rsidR="003C67AC" w:rsidRDefault="003C67AC"/>
    <w:sectPr w:rsidR="003C6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7AC"/>
    <w:rsid w:val="002842EA"/>
    <w:rsid w:val="003C67AC"/>
    <w:rsid w:val="004444A9"/>
    <w:rsid w:val="0051782C"/>
    <w:rsid w:val="00BD3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67A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67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2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555</Words>
  <Characters>3123</Characters>
  <Application>Microsoft Office Word</Application>
  <DocSecurity>0</DocSecurity>
  <Lines>40</Lines>
  <Paragraphs>3</Paragraphs>
  <ScaleCrop>false</ScaleCrop>
  <HeadingPairs>
    <vt:vector size="2" baseType="variant">
      <vt:variant>
        <vt:lpstr>Title</vt:lpstr>
      </vt:variant>
      <vt:variant>
        <vt:i4>1</vt:i4>
      </vt:variant>
    </vt:vector>
  </HeadingPairs>
  <TitlesOfParts>
    <vt:vector size="1" baseType="lpstr">
      <vt:lpstr/>
    </vt:vector>
  </TitlesOfParts>
  <Company>New Mexico State University</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Gomez</dc:creator>
  <cp:lastModifiedBy>Diego Gomez</cp:lastModifiedBy>
  <cp:revision>1</cp:revision>
  <dcterms:created xsi:type="dcterms:W3CDTF">2014-08-01T15:31:00Z</dcterms:created>
  <dcterms:modified xsi:type="dcterms:W3CDTF">2014-08-01T16:02:00Z</dcterms:modified>
</cp:coreProperties>
</file>