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02F" w:rsidRDefault="0027402F" w:rsidP="0027402F">
      <w:pPr>
        <w:pStyle w:val="Body"/>
        <w:spacing w:after="0" w:line="240" w:lineRule="auto"/>
        <w:jc w:val="both"/>
        <w:rPr>
          <w:rFonts w:ascii="Trebuchet MS"/>
          <w:b/>
          <w:bCs/>
        </w:rPr>
      </w:pPr>
      <w:r w:rsidRPr="003B78F1">
        <w:rPr>
          <w:rFonts w:ascii="Trebuchet MS" w:eastAsia="Trebuchet MS" w:hAnsi="Trebuchet MS" w:cs="Trebuchet MS"/>
          <w:b/>
          <w:bCs/>
        </w:rPr>
        <w:t xml:space="preserve">Electrochemical Evaluation of Novel Binders </w:t>
      </w:r>
      <w:r>
        <w:rPr>
          <w:rFonts w:ascii="Trebuchet MS" w:eastAsia="Trebuchet MS" w:hAnsi="Trebuchet MS" w:cs="Trebuchet MS"/>
          <w:b/>
          <w:bCs/>
        </w:rPr>
        <w:t>f</w:t>
      </w:r>
      <w:r w:rsidRPr="003B78F1">
        <w:rPr>
          <w:rFonts w:ascii="Trebuchet MS" w:eastAsia="Trebuchet MS" w:hAnsi="Trebuchet MS" w:cs="Trebuchet MS"/>
          <w:b/>
          <w:bCs/>
        </w:rPr>
        <w:t>or</w:t>
      </w:r>
      <w:r>
        <w:rPr>
          <w:rFonts w:ascii="Trebuchet MS" w:eastAsia="Trebuchet MS" w:hAnsi="Trebuchet MS" w:cs="Trebuchet MS"/>
          <w:b/>
          <w:bCs/>
        </w:rPr>
        <w:t xml:space="preserve"> </w:t>
      </w:r>
      <w:r w:rsidRPr="003B78F1">
        <w:rPr>
          <w:rFonts w:ascii="Trebuchet MS" w:eastAsia="Trebuchet MS" w:hAnsi="Trebuchet MS" w:cs="Trebuchet MS"/>
          <w:b/>
          <w:bCs/>
        </w:rPr>
        <w:t>Alkaline Fuel Cell Applications</w:t>
      </w:r>
    </w:p>
    <w:p w:rsidR="0027402F" w:rsidRDefault="0027402F" w:rsidP="0027402F">
      <w:pPr>
        <w:pStyle w:val="Body"/>
        <w:spacing w:after="0" w:line="240" w:lineRule="auto"/>
        <w:jc w:val="both"/>
        <w:rPr>
          <w:rFonts w:ascii="Trebuchet MS"/>
          <w:b/>
          <w:bCs/>
        </w:rPr>
      </w:pPr>
    </w:p>
    <w:p w:rsidR="0027402F" w:rsidRDefault="0027402F" w:rsidP="0027402F">
      <w:pPr>
        <w:pStyle w:val="Body"/>
        <w:spacing w:after="0" w:line="240" w:lineRule="auto"/>
        <w:jc w:val="both"/>
        <w:rPr>
          <w:rFonts w:ascii="Trebuchet MS"/>
          <w:bCs/>
          <w:vertAlign w:val="superscript"/>
        </w:rPr>
      </w:pPr>
      <w:r>
        <w:rPr>
          <w:rFonts w:ascii="Trebuchet MS"/>
          <w:bCs/>
        </w:rPr>
        <w:t>Samantha Medina</w:t>
      </w:r>
      <w:r w:rsidRPr="00175667">
        <w:rPr>
          <w:rFonts w:ascii="Trebuchet MS"/>
          <w:bCs/>
          <w:vertAlign w:val="superscript"/>
        </w:rPr>
        <w:t>1</w:t>
      </w:r>
      <w:r>
        <w:rPr>
          <w:rFonts w:ascii="Trebuchet MS"/>
          <w:bCs/>
        </w:rPr>
        <w:t>, Gabriel Goenaga</w:t>
      </w:r>
      <w:r w:rsidRPr="0073327B">
        <w:rPr>
          <w:rFonts w:ascii="Trebuchet MS"/>
          <w:bCs/>
          <w:vertAlign w:val="superscript"/>
        </w:rPr>
        <w:t>2</w:t>
      </w:r>
      <w:r>
        <w:rPr>
          <w:rFonts w:ascii="Trebuchet MS"/>
          <w:bCs/>
        </w:rPr>
        <w:t>, Samuel St. J</w:t>
      </w:r>
      <w:bookmarkStart w:id="0" w:name="_GoBack"/>
      <w:bookmarkEnd w:id="0"/>
      <w:r>
        <w:rPr>
          <w:rFonts w:ascii="Trebuchet MS"/>
          <w:bCs/>
        </w:rPr>
        <w:t>ohn</w:t>
      </w:r>
      <w:r w:rsidRPr="0073327B">
        <w:rPr>
          <w:rFonts w:ascii="Trebuchet MS"/>
          <w:bCs/>
          <w:vertAlign w:val="superscript"/>
        </w:rPr>
        <w:t>2</w:t>
      </w:r>
      <w:r>
        <w:rPr>
          <w:rFonts w:ascii="Trebuchet MS"/>
          <w:bCs/>
        </w:rPr>
        <w:t>, Shane Foister</w:t>
      </w:r>
      <w:r w:rsidRPr="0073327B">
        <w:rPr>
          <w:rFonts w:ascii="Trebuchet MS"/>
          <w:bCs/>
          <w:vertAlign w:val="superscript"/>
        </w:rPr>
        <w:t>2</w:t>
      </w:r>
      <w:r>
        <w:rPr>
          <w:rFonts w:ascii="Trebuchet MS"/>
          <w:bCs/>
        </w:rPr>
        <w:t xml:space="preserve"> and Thomas A. </w:t>
      </w:r>
      <w:proofErr w:type="spellStart"/>
      <w:r>
        <w:rPr>
          <w:rFonts w:ascii="Trebuchet MS"/>
          <w:bCs/>
        </w:rPr>
        <w:t>Zawodzinski</w:t>
      </w:r>
      <w:proofErr w:type="spellEnd"/>
      <w:r>
        <w:rPr>
          <w:rFonts w:ascii="Trebuchet MS"/>
          <w:bCs/>
        </w:rPr>
        <w:t xml:space="preserve"> Jr.</w:t>
      </w:r>
      <w:r w:rsidRPr="0073327B">
        <w:rPr>
          <w:rFonts w:ascii="Trebuchet MS"/>
          <w:bCs/>
          <w:vertAlign w:val="superscript"/>
        </w:rPr>
        <w:t>2</w:t>
      </w:r>
      <w:proofErr w:type="gramStart"/>
      <w:r w:rsidRPr="0073327B">
        <w:rPr>
          <w:rFonts w:ascii="Trebuchet MS"/>
          <w:bCs/>
          <w:vertAlign w:val="superscript"/>
        </w:rPr>
        <w:t>,3</w:t>
      </w:r>
      <w:proofErr w:type="gramEnd"/>
    </w:p>
    <w:p w:rsidR="0027402F" w:rsidRPr="0073327B" w:rsidRDefault="0027402F" w:rsidP="0027402F">
      <w:pPr>
        <w:pStyle w:val="Body"/>
        <w:spacing w:after="0" w:line="240" w:lineRule="auto"/>
        <w:jc w:val="both"/>
        <w:rPr>
          <w:rFonts w:ascii="Trebuchet MS"/>
          <w:bCs/>
        </w:rPr>
      </w:pPr>
    </w:p>
    <w:p w:rsidR="0027402F" w:rsidRDefault="0027402F" w:rsidP="0027402F">
      <w:pPr>
        <w:pStyle w:val="Body"/>
        <w:spacing w:after="0" w:line="240" w:lineRule="auto"/>
        <w:jc w:val="both"/>
        <w:rPr>
          <w:rFonts w:ascii="Trebuchet MS" w:eastAsia="Trebuchet MS" w:hAnsi="Trebuchet MS" w:cs="Trebuchet MS"/>
          <w:bCs/>
        </w:rPr>
      </w:pPr>
      <w:r w:rsidRPr="0073327B">
        <w:rPr>
          <w:rFonts w:ascii="Trebuchet MS" w:eastAsia="Trebuchet MS" w:hAnsi="Trebuchet MS" w:cs="Trebuchet MS"/>
          <w:bCs/>
          <w:vertAlign w:val="superscript"/>
        </w:rPr>
        <w:t>1</w:t>
      </w:r>
      <w:r>
        <w:rPr>
          <w:rFonts w:ascii="Trebuchet MS" w:eastAsia="Trebuchet MS" w:hAnsi="Trebuchet MS" w:cs="Trebuchet MS"/>
          <w:bCs/>
        </w:rPr>
        <w:t xml:space="preserve"> Material Science Department, The University of </w:t>
      </w:r>
      <w:proofErr w:type="spellStart"/>
      <w:r>
        <w:rPr>
          <w:rFonts w:ascii="Trebuchet MS" w:eastAsia="Trebuchet MS" w:hAnsi="Trebuchet MS" w:cs="Trebuchet MS"/>
          <w:bCs/>
        </w:rPr>
        <w:t>Tennesse</w:t>
      </w:r>
      <w:proofErr w:type="spellEnd"/>
      <w:proofErr w:type="gramStart"/>
      <w:r>
        <w:rPr>
          <w:rFonts w:ascii="Trebuchet MS" w:eastAsia="Trebuchet MS" w:hAnsi="Trebuchet MS" w:cs="Trebuchet MS"/>
          <w:bCs/>
        </w:rPr>
        <w:t>,  Knoxville</w:t>
      </w:r>
      <w:proofErr w:type="gramEnd"/>
      <w:r>
        <w:rPr>
          <w:rFonts w:ascii="Trebuchet MS" w:eastAsia="Trebuchet MS" w:hAnsi="Trebuchet MS" w:cs="Trebuchet MS"/>
          <w:bCs/>
        </w:rPr>
        <w:t xml:space="preserve">, TN </w:t>
      </w:r>
    </w:p>
    <w:p w:rsidR="0027402F" w:rsidRDefault="0027402F" w:rsidP="0027402F">
      <w:pPr>
        <w:pStyle w:val="Body"/>
        <w:spacing w:after="0" w:line="240" w:lineRule="auto"/>
        <w:jc w:val="both"/>
        <w:rPr>
          <w:rFonts w:ascii="Trebuchet MS" w:eastAsia="Trebuchet MS" w:hAnsi="Trebuchet MS" w:cs="Trebuchet MS"/>
          <w:bCs/>
        </w:rPr>
      </w:pPr>
      <w:r w:rsidRPr="0073327B">
        <w:rPr>
          <w:rFonts w:ascii="Trebuchet MS" w:eastAsia="Trebuchet MS" w:hAnsi="Trebuchet MS" w:cs="Trebuchet MS"/>
          <w:bCs/>
          <w:vertAlign w:val="superscript"/>
        </w:rPr>
        <w:t>2</w:t>
      </w:r>
      <w:r>
        <w:rPr>
          <w:rFonts w:ascii="Trebuchet MS" w:eastAsia="Trebuchet MS" w:hAnsi="Trebuchet MS" w:cs="Trebuchet MS"/>
          <w:bCs/>
        </w:rPr>
        <w:t xml:space="preserve"> Chemical and </w:t>
      </w:r>
      <w:proofErr w:type="spellStart"/>
      <w:r>
        <w:rPr>
          <w:rFonts w:ascii="Trebuchet MS" w:eastAsia="Trebuchet MS" w:hAnsi="Trebuchet MS" w:cs="Trebuchet MS"/>
          <w:bCs/>
        </w:rPr>
        <w:t>Biomolecular</w:t>
      </w:r>
      <w:proofErr w:type="spellEnd"/>
      <w:r>
        <w:rPr>
          <w:rFonts w:ascii="Trebuchet MS" w:eastAsia="Trebuchet MS" w:hAnsi="Trebuchet MS" w:cs="Trebuchet MS"/>
          <w:bCs/>
        </w:rPr>
        <w:t xml:space="preserve"> Department, </w:t>
      </w:r>
      <w:proofErr w:type="gramStart"/>
      <w:r>
        <w:rPr>
          <w:rFonts w:ascii="Trebuchet MS" w:eastAsia="Trebuchet MS" w:hAnsi="Trebuchet MS" w:cs="Trebuchet MS"/>
          <w:bCs/>
        </w:rPr>
        <w:t>The</w:t>
      </w:r>
      <w:proofErr w:type="gramEnd"/>
      <w:r>
        <w:rPr>
          <w:rFonts w:ascii="Trebuchet MS" w:eastAsia="Trebuchet MS" w:hAnsi="Trebuchet MS" w:cs="Trebuchet MS"/>
          <w:bCs/>
        </w:rPr>
        <w:t xml:space="preserve"> University of </w:t>
      </w:r>
      <w:proofErr w:type="spellStart"/>
      <w:r>
        <w:rPr>
          <w:rFonts w:ascii="Trebuchet MS" w:eastAsia="Trebuchet MS" w:hAnsi="Trebuchet MS" w:cs="Trebuchet MS"/>
          <w:bCs/>
        </w:rPr>
        <w:t>Tennesse</w:t>
      </w:r>
      <w:proofErr w:type="spellEnd"/>
      <w:r>
        <w:rPr>
          <w:rFonts w:ascii="Trebuchet MS" w:eastAsia="Trebuchet MS" w:hAnsi="Trebuchet MS" w:cs="Trebuchet MS"/>
          <w:bCs/>
        </w:rPr>
        <w:t>, Knoxville, TN</w:t>
      </w:r>
    </w:p>
    <w:p w:rsidR="0027402F" w:rsidRPr="00456D32" w:rsidRDefault="0027402F" w:rsidP="0027402F">
      <w:pPr>
        <w:jc w:val="both"/>
        <w:rPr>
          <w:sz w:val="20"/>
          <w:szCs w:val="20"/>
        </w:rPr>
      </w:pPr>
      <w:r w:rsidRPr="0073327B">
        <w:rPr>
          <w:rFonts w:ascii="Trebuchet MS" w:eastAsia="Trebuchet MS" w:hAnsi="Trebuchet MS" w:cs="Trebuchet MS"/>
          <w:bCs/>
          <w:vertAlign w:val="superscript"/>
        </w:rPr>
        <w:t>3</w:t>
      </w:r>
      <w:r>
        <w:rPr>
          <w:rFonts w:ascii="Trebuchet MS" w:eastAsia="Trebuchet MS" w:hAnsi="Trebuchet MS" w:cs="Trebuchet MS"/>
          <w:bCs/>
        </w:rPr>
        <w:t xml:space="preserve"> </w:t>
      </w:r>
      <w:r w:rsidRPr="0073327B">
        <w:rPr>
          <w:rFonts w:ascii="Trebuchet MS" w:eastAsia="Trebuchet MS" w:hAnsi="Trebuchet MS" w:cs="Trebuchet MS"/>
          <w:bCs/>
          <w:color w:val="000000"/>
          <w:sz w:val="22"/>
          <w:szCs w:val="22"/>
          <w:u w:color="000000"/>
        </w:rPr>
        <w:t>Physical Chemistry Materials Group, Oak Ridge National Laboratory, Oak Ridge, TN</w:t>
      </w:r>
    </w:p>
    <w:p w:rsidR="0027402F" w:rsidRPr="0073327B" w:rsidRDefault="0027402F" w:rsidP="0027402F">
      <w:pPr>
        <w:pStyle w:val="Body"/>
        <w:spacing w:after="0" w:line="240" w:lineRule="auto"/>
        <w:jc w:val="both"/>
        <w:rPr>
          <w:rFonts w:ascii="Trebuchet MS" w:eastAsia="Trebuchet MS" w:hAnsi="Trebuchet MS" w:cs="Trebuchet MS"/>
          <w:bCs/>
        </w:rPr>
      </w:pPr>
    </w:p>
    <w:p w:rsidR="0027402F" w:rsidRDefault="0027402F" w:rsidP="0027402F">
      <w:pPr>
        <w:pStyle w:val="Body"/>
        <w:spacing w:after="0" w:line="240" w:lineRule="auto"/>
        <w:jc w:val="center"/>
      </w:pPr>
    </w:p>
    <w:p w:rsidR="0027402F" w:rsidRDefault="0027402F" w:rsidP="0027402F">
      <w:pPr>
        <w:jc w:val="both"/>
        <w:rPr>
          <w:rFonts w:ascii="Trebuchet MS" w:eastAsia="Trebuchet MS" w:hAnsi="Trebuchet MS" w:cs="Trebuchet MS"/>
          <w:bCs/>
          <w:color w:val="000000"/>
          <w:sz w:val="22"/>
          <w:szCs w:val="22"/>
          <w:u w:color="000000"/>
        </w:rPr>
      </w:pPr>
      <w:r w:rsidRPr="003B78F1">
        <w:rPr>
          <w:rFonts w:ascii="Trebuchet MS" w:eastAsia="Trebuchet MS" w:hAnsi="Trebuchet MS" w:cs="Trebuchet MS"/>
          <w:color w:val="000000"/>
          <w:sz w:val="22"/>
          <w:szCs w:val="22"/>
        </w:rPr>
        <w:t xml:space="preserve">Low temperature fuel cells, such as proton exchange membrane fuel cells (PEMFC) and alkaline fuel cells (AFC), are of great interest because they offer the possibility of being used in portable applications.  PEMFCs commonly use Pt as the catalyst for both the hydrogen oxidation reaction (HOR) and oxygen reduction reaction (ORR), as well as </w:t>
      </w:r>
      <w:proofErr w:type="spellStart"/>
      <w:r w:rsidRPr="003B78F1">
        <w:rPr>
          <w:rFonts w:ascii="Trebuchet MS" w:eastAsia="Trebuchet MS" w:hAnsi="Trebuchet MS" w:cs="Trebuchet MS"/>
          <w:color w:val="000000"/>
          <w:sz w:val="22"/>
          <w:szCs w:val="22"/>
        </w:rPr>
        <w:t>Nafion</w:t>
      </w:r>
      <w:proofErr w:type="spellEnd"/>
      <w:r w:rsidRPr="003B78F1">
        <w:rPr>
          <w:rFonts w:ascii="Trebuchet MS" w:eastAsia="Trebuchet MS" w:hAnsi="Trebuchet MS" w:cs="Trebuchet MS"/>
          <w:color w:val="000000"/>
          <w:sz w:val="22"/>
          <w:szCs w:val="22"/>
        </w:rPr>
        <w:t xml:space="preserve">, a </w:t>
      </w:r>
      <w:proofErr w:type="spellStart"/>
      <w:r w:rsidRPr="003B78F1">
        <w:rPr>
          <w:rFonts w:ascii="Trebuchet MS" w:eastAsia="Trebuchet MS" w:hAnsi="Trebuchet MS" w:cs="Trebuchet MS"/>
          <w:color w:val="000000"/>
          <w:sz w:val="22"/>
          <w:szCs w:val="22"/>
        </w:rPr>
        <w:t>cation</w:t>
      </w:r>
      <w:proofErr w:type="spellEnd"/>
      <w:r w:rsidRPr="003B78F1">
        <w:rPr>
          <w:rFonts w:ascii="Trebuchet MS" w:eastAsia="Trebuchet MS" w:hAnsi="Trebuchet MS" w:cs="Trebuchet MS"/>
          <w:color w:val="000000"/>
          <w:sz w:val="22"/>
          <w:szCs w:val="22"/>
        </w:rPr>
        <w:t>-conducting (H</w:t>
      </w:r>
      <w:r w:rsidRPr="003B78F1">
        <w:rPr>
          <w:rFonts w:ascii="Trebuchet MS" w:eastAsia="Trebuchet MS" w:hAnsi="Trebuchet MS" w:cs="Trebuchet MS"/>
          <w:color w:val="000000"/>
          <w:sz w:val="22"/>
          <w:szCs w:val="22"/>
          <w:vertAlign w:val="superscript"/>
        </w:rPr>
        <w:t>+</w:t>
      </w:r>
      <w:r w:rsidRPr="003B78F1">
        <w:rPr>
          <w:rFonts w:ascii="Trebuchet MS" w:eastAsia="Trebuchet MS" w:hAnsi="Trebuchet MS" w:cs="Trebuchet MS"/>
          <w:color w:val="000000"/>
          <w:sz w:val="22"/>
          <w:szCs w:val="22"/>
        </w:rPr>
        <w:t xml:space="preserve">) polymer, as the membrane and catalyst layer </w:t>
      </w:r>
      <w:proofErr w:type="spellStart"/>
      <w:r w:rsidRPr="003B78F1">
        <w:rPr>
          <w:rFonts w:ascii="Trebuchet MS" w:eastAsia="Trebuchet MS" w:hAnsi="Trebuchet MS" w:cs="Trebuchet MS"/>
          <w:color w:val="000000"/>
          <w:sz w:val="22"/>
          <w:szCs w:val="22"/>
        </w:rPr>
        <w:t>ionomer</w:t>
      </w:r>
      <w:proofErr w:type="spellEnd"/>
      <w:r w:rsidRPr="003B78F1">
        <w:rPr>
          <w:rFonts w:ascii="Trebuchet MS" w:eastAsia="Trebuchet MS" w:hAnsi="Trebuchet MS" w:cs="Trebuchet MS"/>
          <w:color w:val="000000"/>
          <w:sz w:val="22"/>
          <w:szCs w:val="22"/>
        </w:rPr>
        <w:t xml:space="preserve"> and binder.  Both, Pt and </w:t>
      </w:r>
      <w:proofErr w:type="spellStart"/>
      <w:r w:rsidRPr="003B78F1">
        <w:rPr>
          <w:rFonts w:ascii="Trebuchet MS" w:eastAsia="Trebuchet MS" w:hAnsi="Trebuchet MS" w:cs="Trebuchet MS"/>
          <w:color w:val="000000"/>
          <w:sz w:val="22"/>
          <w:szCs w:val="22"/>
        </w:rPr>
        <w:t>Nafion</w:t>
      </w:r>
      <w:proofErr w:type="spellEnd"/>
      <w:r w:rsidRPr="003B78F1">
        <w:rPr>
          <w:rFonts w:ascii="Trebuchet MS" w:eastAsia="Trebuchet MS" w:hAnsi="Trebuchet MS" w:cs="Trebuchet MS"/>
          <w:color w:val="000000"/>
          <w:sz w:val="22"/>
          <w:szCs w:val="22"/>
        </w:rPr>
        <w:t xml:space="preserve">, are expensive materials that increase the production cost of PEMFCs. One advantage AFCs have </w:t>
      </w:r>
      <w:r w:rsidRPr="003B78F1">
        <w:rPr>
          <w:rFonts w:ascii="Trebuchet MS" w:eastAsia="Trebuchet MS" w:hAnsi="Trebuchet MS" w:cs="Trebuchet MS"/>
          <w:sz w:val="22"/>
          <w:szCs w:val="22"/>
        </w:rPr>
        <w:t>over PEMFCs is that non-precious metal catalysts can replace Pt for the ORR and HOR, thereby reducing the overall cost associated with the fuel cell.</w:t>
      </w:r>
      <w:r w:rsidRPr="003B78F1">
        <w:rPr>
          <w:rFonts w:ascii="Trebuchet MS" w:eastAsia="Trebuchet MS" w:hAnsi="Trebuchet MS" w:cs="Trebuchet MS"/>
          <w:color w:val="000000"/>
          <w:sz w:val="22"/>
          <w:szCs w:val="22"/>
        </w:rPr>
        <w:t xml:space="preserve">  However, there is not a standard anion-conducting (OH</w:t>
      </w:r>
      <w:r w:rsidRPr="003B78F1">
        <w:rPr>
          <w:rFonts w:ascii="Trebuchet MS" w:eastAsia="Trebuchet MS" w:hAnsi="Trebuchet MS" w:cs="Trebuchet MS"/>
          <w:color w:val="000000"/>
          <w:sz w:val="22"/>
          <w:szCs w:val="22"/>
          <w:vertAlign w:val="superscript"/>
        </w:rPr>
        <w:t>-</w:t>
      </w:r>
      <w:r w:rsidRPr="003B78F1">
        <w:rPr>
          <w:rFonts w:ascii="Trebuchet MS" w:eastAsia="Trebuchet MS" w:hAnsi="Trebuchet MS" w:cs="Trebuchet MS"/>
          <w:color w:val="000000"/>
          <w:sz w:val="22"/>
          <w:szCs w:val="22"/>
        </w:rPr>
        <w:t xml:space="preserve">) polymer that can be used as the membrane or catalyst layer </w:t>
      </w:r>
      <w:proofErr w:type="spellStart"/>
      <w:r w:rsidRPr="003B78F1">
        <w:rPr>
          <w:rFonts w:ascii="Trebuchet MS" w:eastAsia="Trebuchet MS" w:hAnsi="Trebuchet MS" w:cs="Trebuchet MS"/>
          <w:color w:val="000000"/>
          <w:sz w:val="22"/>
          <w:szCs w:val="22"/>
        </w:rPr>
        <w:t>ionomer</w:t>
      </w:r>
      <w:proofErr w:type="spellEnd"/>
      <w:r w:rsidRPr="003B78F1">
        <w:rPr>
          <w:rFonts w:ascii="Trebuchet MS" w:eastAsia="Trebuchet MS" w:hAnsi="Trebuchet MS" w:cs="Trebuchet MS"/>
          <w:color w:val="000000"/>
          <w:sz w:val="22"/>
          <w:szCs w:val="22"/>
        </w:rPr>
        <w:t xml:space="preserve"> and binder.  Instead, </w:t>
      </w:r>
      <w:proofErr w:type="spellStart"/>
      <w:r w:rsidRPr="003B78F1">
        <w:rPr>
          <w:rFonts w:ascii="Trebuchet MS" w:eastAsia="Trebuchet MS" w:hAnsi="Trebuchet MS" w:cs="Trebuchet MS"/>
          <w:color w:val="000000"/>
          <w:sz w:val="22"/>
          <w:szCs w:val="22"/>
        </w:rPr>
        <w:t>Nafion</w:t>
      </w:r>
      <w:proofErr w:type="spellEnd"/>
      <w:r w:rsidRPr="003B78F1">
        <w:rPr>
          <w:rFonts w:ascii="Trebuchet MS" w:eastAsia="Trebuchet MS" w:hAnsi="Trebuchet MS" w:cs="Trebuchet MS"/>
          <w:color w:val="000000"/>
          <w:sz w:val="22"/>
          <w:szCs w:val="22"/>
        </w:rPr>
        <w:t xml:space="preserve"> or sodium exchanged </w:t>
      </w:r>
      <w:proofErr w:type="spellStart"/>
      <w:r w:rsidRPr="003B78F1">
        <w:rPr>
          <w:rFonts w:ascii="Trebuchet MS" w:eastAsia="Trebuchet MS" w:hAnsi="Trebuchet MS" w:cs="Trebuchet MS"/>
          <w:color w:val="000000"/>
          <w:sz w:val="22"/>
          <w:szCs w:val="22"/>
        </w:rPr>
        <w:t>Nafion</w:t>
      </w:r>
      <w:proofErr w:type="spellEnd"/>
      <w:r w:rsidRPr="003B78F1">
        <w:rPr>
          <w:rFonts w:ascii="Trebuchet MS" w:eastAsia="Trebuchet MS" w:hAnsi="Trebuchet MS" w:cs="Trebuchet MS"/>
          <w:color w:val="000000"/>
          <w:sz w:val="22"/>
          <w:szCs w:val="22"/>
        </w:rPr>
        <w:t xml:space="preserve"> is commonly used.  In our lab we have synthesized novel low cost anion-conducting binders. These binders were electrochemically evaluated using rotating ring disk electrode (RRDE) experiments in a standard three-electrode electrochemical cell in 0.1M KOH with a precious metal catalyst (PMC) and a non-precious metal catalyst (NPMC) working electrode. We found that the performance of our binders surpassed that of </w:t>
      </w:r>
      <w:proofErr w:type="spellStart"/>
      <w:r w:rsidRPr="003B78F1">
        <w:rPr>
          <w:rFonts w:ascii="Trebuchet MS" w:eastAsia="Trebuchet MS" w:hAnsi="Trebuchet MS" w:cs="Trebuchet MS"/>
          <w:color w:val="000000"/>
          <w:sz w:val="22"/>
          <w:szCs w:val="22"/>
        </w:rPr>
        <w:t>Nafion</w:t>
      </w:r>
      <w:proofErr w:type="spellEnd"/>
      <w:r w:rsidRPr="003B78F1">
        <w:rPr>
          <w:rFonts w:ascii="Trebuchet MS" w:eastAsia="Trebuchet MS" w:hAnsi="Trebuchet MS" w:cs="Trebuchet MS"/>
          <w:color w:val="000000"/>
          <w:sz w:val="22"/>
          <w:szCs w:val="22"/>
        </w:rPr>
        <w:t xml:space="preserve"> when tested with a platinum catalyst, increasing the half way potential E</w:t>
      </w:r>
      <w:r w:rsidRPr="003B78F1">
        <w:rPr>
          <w:rFonts w:ascii="Trebuchet MS" w:eastAsia="Trebuchet MS" w:hAnsi="Trebuchet MS" w:cs="Trebuchet MS"/>
          <w:color w:val="000000"/>
          <w:sz w:val="22"/>
          <w:szCs w:val="22"/>
          <w:vertAlign w:val="subscript"/>
        </w:rPr>
        <w:t xml:space="preserve">1/2 </w:t>
      </w:r>
      <w:r w:rsidRPr="003B78F1">
        <w:rPr>
          <w:rFonts w:ascii="Trebuchet MS" w:eastAsia="Trebuchet MS" w:hAnsi="Trebuchet MS" w:cs="Trebuchet MS"/>
          <w:color w:val="000000"/>
          <w:sz w:val="22"/>
          <w:szCs w:val="22"/>
        </w:rPr>
        <w:t xml:space="preserve">from 0.8 V with </w:t>
      </w:r>
      <w:proofErr w:type="spellStart"/>
      <w:r w:rsidRPr="003B78F1">
        <w:rPr>
          <w:rFonts w:ascii="Trebuchet MS" w:eastAsia="Trebuchet MS" w:hAnsi="Trebuchet MS" w:cs="Trebuchet MS"/>
          <w:color w:val="000000"/>
          <w:sz w:val="22"/>
          <w:szCs w:val="22"/>
        </w:rPr>
        <w:t>Nafion</w:t>
      </w:r>
      <w:proofErr w:type="spellEnd"/>
      <w:r w:rsidRPr="003B78F1">
        <w:rPr>
          <w:rFonts w:ascii="Trebuchet MS" w:eastAsia="Trebuchet MS" w:hAnsi="Trebuchet MS" w:cs="Trebuchet MS"/>
          <w:color w:val="000000"/>
          <w:sz w:val="22"/>
          <w:szCs w:val="22"/>
        </w:rPr>
        <w:t xml:space="preserve"> binder to 0.82 V with one of our binders.</w:t>
      </w:r>
    </w:p>
    <w:p w:rsidR="00492279" w:rsidRDefault="00492279"/>
    <w:sectPr w:rsidR="004922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02F"/>
    <w:rsid w:val="0027402F"/>
    <w:rsid w:val="00492279"/>
    <w:rsid w:val="00611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7402F"/>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7402F"/>
    <w:pPr>
      <w:pBdr>
        <w:top w:val="nil"/>
        <w:left w:val="nil"/>
        <w:bottom w:val="nil"/>
        <w:right w:val="nil"/>
        <w:between w:val="nil"/>
        <w:bar w:val="nil"/>
      </w:pBdr>
    </w:pPr>
    <w:rPr>
      <w:rFonts w:ascii="Calibri" w:eastAsia="Calibri" w:hAnsi="Calibri" w:cs="Calibri"/>
      <w:color w:val="000000"/>
      <w:u w:color="000000"/>
      <w:bdr w:val="nil"/>
      <w:lang w:eastAsia="en-US"/>
    </w:rPr>
  </w:style>
  <w:style w:type="character" w:styleId="CommentReference">
    <w:name w:val="annotation reference"/>
    <w:basedOn w:val="DefaultParagraphFont"/>
    <w:uiPriority w:val="99"/>
    <w:semiHidden/>
    <w:unhideWhenUsed/>
    <w:rsid w:val="0027402F"/>
    <w:rPr>
      <w:sz w:val="18"/>
      <w:szCs w:val="18"/>
    </w:rPr>
  </w:style>
  <w:style w:type="paragraph" w:styleId="CommentText">
    <w:name w:val="annotation text"/>
    <w:basedOn w:val="Normal"/>
    <w:link w:val="CommentTextChar"/>
    <w:uiPriority w:val="99"/>
    <w:semiHidden/>
    <w:unhideWhenUsed/>
    <w:rsid w:val="0027402F"/>
  </w:style>
  <w:style w:type="character" w:customStyle="1" w:styleId="CommentTextChar">
    <w:name w:val="Comment Text Char"/>
    <w:basedOn w:val="DefaultParagraphFont"/>
    <w:link w:val="CommentText"/>
    <w:uiPriority w:val="99"/>
    <w:semiHidden/>
    <w:rsid w:val="0027402F"/>
    <w:rPr>
      <w:rFonts w:ascii="Times New Roman" w:eastAsia="Arial Unicode MS" w:hAnsi="Times New Roman" w:cs="Times New Roman"/>
      <w:sz w:val="24"/>
      <w:szCs w:val="24"/>
      <w:bdr w:val="nil"/>
      <w:lang w:eastAsia="en-US"/>
    </w:rPr>
  </w:style>
  <w:style w:type="paragraph" w:styleId="BalloonText">
    <w:name w:val="Balloon Text"/>
    <w:basedOn w:val="Normal"/>
    <w:link w:val="BalloonTextChar"/>
    <w:uiPriority w:val="99"/>
    <w:semiHidden/>
    <w:unhideWhenUsed/>
    <w:rsid w:val="0027402F"/>
    <w:rPr>
      <w:rFonts w:ascii="Tahoma" w:hAnsi="Tahoma" w:cs="Tahoma"/>
      <w:sz w:val="16"/>
      <w:szCs w:val="16"/>
    </w:rPr>
  </w:style>
  <w:style w:type="character" w:customStyle="1" w:styleId="BalloonTextChar">
    <w:name w:val="Balloon Text Char"/>
    <w:basedOn w:val="DefaultParagraphFont"/>
    <w:link w:val="BalloonText"/>
    <w:uiPriority w:val="99"/>
    <w:semiHidden/>
    <w:rsid w:val="0027402F"/>
    <w:rPr>
      <w:rFonts w:ascii="Tahoma" w:eastAsia="Arial Unicode MS" w:hAnsi="Tahoma" w:cs="Tahoma"/>
      <w:sz w:val="16"/>
      <w:szCs w:val="16"/>
      <w:bdr w:val="ni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7402F"/>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7402F"/>
    <w:pPr>
      <w:pBdr>
        <w:top w:val="nil"/>
        <w:left w:val="nil"/>
        <w:bottom w:val="nil"/>
        <w:right w:val="nil"/>
        <w:between w:val="nil"/>
        <w:bar w:val="nil"/>
      </w:pBdr>
    </w:pPr>
    <w:rPr>
      <w:rFonts w:ascii="Calibri" w:eastAsia="Calibri" w:hAnsi="Calibri" w:cs="Calibri"/>
      <w:color w:val="000000"/>
      <w:u w:color="000000"/>
      <w:bdr w:val="nil"/>
      <w:lang w:eastAsia="en-US"/>
    </w:rPr>
  </w:style>
  <w:style w:type="character" w:styleId="CommentReference">
    <w:name w:val="annotation reference"/>
    <w:basedOn w:val="DefaultParagraphFont"/>
    <w:uiPriority w:val="99"/>
    <w:semiHidden/>
    <w:unhideWhenUsed/>
    <w:rsid w:val="0027402F"/>
    <w:rPr>
      <w:sz w:val="18"/>
      <w:szCs w:val="18"/>
    </w:rPr>
  </w:style>
  <w:style w:type="paragraph" w:styleId="CommentText">
    <w:name w:val="annotation text"/>
    <w:basedOn w:val="Normal"/>
    <w:link w:val="CommentTextChar"/>
    <w:uiPriority w:val="99"/>
    <w:semiHidden/>
    <w:unhideWhenUsed/>
    <w:rsid w:val="0027402F"/>
  </w:style>
  <w:style w:type="character" w:customStyle="1" w:styleId="CommentTextChar">
    <w:name w:val="Comment Text Char"/>
    <w:basedOn w:val="DefaultParagraphFont"/>
    <w:link w:val="CommentText"/>
    <w:uiPriority w:val="99"/>
    <w:semiHidden/>
    <w:rsid w:val="0027402F"/>
    <w:rPr>
      <w:rFonts w:ascii="Times New Roman" w:eastAsia="Arial Unicode MS" w:hAnsi="Times New Roman" w:cs="Times New Roman"/>
      <w:sz w:val="24"/>
      <w:szCs w:val="24"/>
      <w:bdr w:val="nil"/>
      <w:lang w:eastAsia="en-US"/>
    </w:rPr>
  </w:style>
  <w:style w:type="paragraph" w:styleId="BalloonText">
    <w:name w:val="Balloon Text"/>
    <w:basedOn w:val="Normal"/>
    <w:link w:val="BalloonTextChar"/>
    <w:uiPriority w:val="99"/>
    <w:semiHidden/>
    <w:unhideWhenUsed/>
    <w:rsid w:val="0027402F"/>
    <w:rPr>
      <w:rFonts w:ascii="Tahoma" w:hAnsi="Tahoma" w:cs="Tahoma"/>
      <w:sz w:val="16"/>
      <w:szCs w:val="16"/>
    </w:rPr>
  </w:style>
  <w:style w:type="character" w:customStyle="1" w:styleId="BalloonTextChar">
    <w:name w:val="Balloon Text Char"/>
    <w:basedOn w:val="DefaultParagraphFont"/>
    <w:link w:val="BalloonText"/>
    <w:uiPriority w:val="99"/>
    <w:semiHidden/>
    <w:rsid w:val="0027402F"/>
    <w:rPr>
      <w:rFonts w:ascii="Tahoma" w:eastAsia="Arial Unicode MS" w:hAnsi="Tahoma" w:cs="Tahoma"/>
      <w:sz w:val="16"/>
      <w:szCs w:val="16"/>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1596</Characters>
  <Application>Microsoft Office Word</Application>
  <DocSecurity>0</DocSecurity>
  <Lines>13</Lines>
  <Paragraphs>3</Paragraphs>
  <ScaleCrop>false</ScaleCrop>
  <Company>University of Tennessee</Company>
  <LinksUpToDate>false</LinksUpToDate>
  <CharactersWithSpaces>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 Group Spec</dc:creator>
  <cp:lastModifiedBy>Z Group Spec</cp:lastModifiedBy>
  <cp:revision>1</cp:revision>
  <dcterms:created xsi:type="dcterms:W3CDTF">2014-10-28T19:18:00Z</dcterms:created>
  <dcterms:modified xsi:type="dcterms:W3CDTF">2014-10-28T19:21:00Z</dcterms:modified>
</cp:coreProperties>
</file>