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2F1A" w:rsidRDefault="002D699C">
      <w:bookmarkStart w:id="0" w:name="_GoBack"/>
      <w:bookmarkEnd w:id="0"/>
      <w:r>
        <w:t>Landon Tyler</w:t>
      </w:r>
      <w:r>
        <w:tab/>
      </w:r>
    </w:p>
    <w:p w:rsidR="002D699C" w:rsidRDefault="002D699C">
      <w:r>
        <w:t>Abstract for Research Project</w:t>
      </w:r>
      <w:r>
        <w:tab/>
      </w:r>
    </w:p>
    <w:p w:rsidR="002D699C" w:rsidRDefault="002D699C">
      <w:pPr>
        <w:rPr>
          <w:rFonts w:ascii="Times New Roman" w:hAnsi="Times New Roman" w:cs="Times New Roman"/>
          <w:sz w:val="24"/>
          <w:szCs w:val="24"/>
        </w:rPr>
      </w:pPr>
    </w:p>
    <w:p w:rsidR="002D699C" w:rsidRDefault="002D699C" w:rsidP="002D699C">
      <w:pPr>
        <w:jc w:val="center"/>
        <w:rPr>
          <w:rFonts w:ascii="Times New Roman" w:hAnsi="Times New Roman" w:cs="Times New Roman"/>
          <w:sz w:val="24"/>
          <w:szCs w:val="24"/>
        </w:rPr>
      </w:pPr>
      <w:r>
        <w:rPr>
          <w:rFonts w:ascii="Times New Roman" w:hAnsi="Times New Roman" w:cs="Times New Roman"/>
          <w:sz w:val="24"/>
          <w:szCs w:val="24"/>
        </w:rPr>
        <w:t xml:space="preserve">The Effects of GXP Annealing on a PCBM/P3HT </w:t>
      </w:r>
    </w:p>
    <w:p w:rsidR="002D699C" w:rsidRDefault="002D699C" w:rsidP="002D699C">
      <w:pPr>
        <w:jc w:val="center"/>
        <w:rPr>
          <w:rFonts w:ascii="Times New Roman" w:hAnsi="Times New Roman" w:cs="Times New Roman"/>
          <w:sz w:val="24"/>
          <w:szCs w:val="24"/>
        </w:rPr>
      </w:pPr>
      <w:r>
        <w:rPr>
          <w:rFonts w:ascii="Times New Roman" w:hAnsi="Times New Roman" w:cs="Times New Roman"/>
          <w:sz w:val="24"/>
          <w:szCs w:val="24"/>
        </w:rPr>
        <w:t xml:space="preserve">Bulk </w:t>
      </w:r>
      <w:proofErr w:type="spellStart"/>
      <w:r>
        <w:rPr>
          <w:rFonts w:ascii="Times New Roman" w:hAnsi="Times New Roman" w:cs="Times New Roman"/>
          <w:sz w:val="24"/>
          <w:szCs w:val="24"/>
        </w:rPr>
        <w:t>Heterojunction</w:t>
      </w:r>
      <w:proofErr w:type="spellEnd"/>
      <w:r>
        <w:rPr>
          <w:rFonts w:ascii="Times New Roman" w:hAnsi="Times New Roman" w:cs="Times New Roman"/>
          <w:sz w:val="24"/>
          <w:szCs w:val="24"/>
        </w:rPr>
        <w:t xml:space="preserve"> Layer’s Surface Roughness</w:t>
      </w:r>
    </w:p>
    <w:p w:rsidR="002D699C" w:rsidRDefault="002D699C" w:rsidP="002D699C">
      <w:pPr>
        <w:jc w:val="center"/>
        <w:rPr>
          <w:rFonts w:ascii="Times New Roman" w:hAnsi="Times New Roman" w:cs="Times New Roman"/>
          <w:sz w:val="24"/>
          <w:szCs w:val="24"/>
        </w:rPr>
      </w:pPr>
    </w:p>
    <w:p w:rsidR="002D699C" w:rsidRPr="002D699C" w:rsidRDefault="002D699C" w:rsidP="002D699C">
      <w:pPr>
        <w:rPr>
          <w:rFonts w:ascii="Times New Roman" w:hAnsi="Times New Roman" w:cs="Times New Roman"/>
          <w:sz w:val="24"/>
          <w:szCs w:val="24"/>
        </w:rPr>
      </w:pPr>
      <w:r>
        <w:rPr>
          <w:rFonts w:ascii="Times New Roman" w:hAnsi="Times New Roman" w:cs="Times New Roman"/>
          <w:sz w:val="24"/>
          <w:szCs w:val="24"/>
        </w:rPr>
        <w:tab/>
      </w:r>
      <w:r w:rsidR="0018367E" w:rsidRPr="0018367E">
        <w:rPr>
          <w:rFonts w:ascii="Times New Roman" w:hAnsi="Times New Roman" w:cs="Times New Roman"/>
          <w:sz w:val="24"/>
          <w:szCs w:val="24"/>
        </w:rPr>
        <w:t xml:space="preserve">Organic photovoltaics (OPV) are promising devices which convert solar energy into electrical energy, fit for applications which require flexibility or light weight, and feature ease of processing.  Process parameters which can affect in device efficiency include (1) layer thickness (2) layer uniformity and (3) </w:t>
      </w:r>
      <w:r w:rsidR="0018367E" w:rsidRPr="0018367E">
        <w:rPr>
          <w:rFonts w:ascii="Times New Roman" w:hAnsi="Times New Roman" w:cs="Times New Roman"/>
          <w:bCs/>
          <w:sz w:val="24"/>
          <w:szCs w:val="24"/>
        </w:rPr>
        <w:t>proper dispersion of the nanoparticle in the polymer.</w:t>
      </w:r>
      <w:r w:rsidR="0018367E">
        <w:rPr>
          <w:rFonts w:ascii="Times New Roman" w:hAnsi="Times New Roman" w:cs="Times New Roman"/>
          <w:bCs/>
          <w:sz w:val="24"/>
          <w:szCs w:val="24"/>
        </w:rPr>
        <w:t xml:space="preserve">  One way to measure layer uniformity is surface roughness.  The photoactive layer, called a bulk </w:t>
      </w:r>
      <w:proofErr w:type="spellStart"/>
      <w:r w:rsidR="0018367E">
        <w:rPr>
          <w:rFonts w:ascii="Times New Roman" w:hAnsi="Times New Roman" w:cs="Times New Roman"/>
          <w:bCs/>
          <w:sz w:val="24"/>
          <w:szCs w:val="24"/>
        </w:rPr>
        <w:t>heterojunction</w:t>
      </w:r>
      <w:proofErr w:type="spellEnd"/>
      <w:r w:rsidR="0018367E">
        <w:rPr>
          <w:rFonts w:ascii="Times New Roman" w:hAnsi="Times New Roman" w:cs="Times New Roman"/>
          <w:bCs/>
          <w:sz w:val="24"/>
          <w:szCs w:val="24"/>
        </w:rPr>
        <w:t xml:space="preserve"> (BHJ), consists of a photoactive polymer (P3HT) electron donor and a nanoparticle electron acceptor (PCBM).  In order to achieve proper dispersion/morphology the BHJ layer must be annealed.  At Tennessee Technological a new type of annealing termed GXP (gas expanded polymer anneal) using high pressure CO</w:t>
      </w:r>
      <w:r w:rsidR="0018367E">
        <w:rPr>
          <w:rFonts w:ascii="Times New Roman" w:hAnsi="Times New Roman" w:cs="Times New Roman"/>
          <w:bCs/>
          <w:sz w:val="24"/>
          <w:szCs w:val="24"/>
          <w:vertAlign w:val="subscript"/>
        </w:rPr>
        <w:t xml:space="preserve">2 </w:t>
      </w:r>
      <w:r w:rsidR="0018367E">
        <w:rPr>
          <w:rFonts w:ascii="Times New Roman" w:hAnsi="Times New Roman" w:cs="Times New Roman"/>
          <w:bCs/>
          <w:sz w:val="24"/>
          <w:szCs w:val="24"/>
        </w:rPr>
        <w:t xml:space="preserve">has been developed.  Herein we discuss how this GXP process affects the surface roughness of the flexible substrate which the thin (~100 nm) BHJ layer is applied to.  Flexible substrates studied include a polyimide.  Spin coating was used to apply the BHJ, followed by annealing.  Surface roughness was quantified using atomic force microscopy (AFM).   </w:t>
      </w:r>
      <w:r w:rsidR="0018367E">
        <w:rPr>
          <w:rFonts w:ascii="Times New Roman" w:hAnsi="Times New Roman" w:cs="Times New Roman"/>
          <w:sz w:val="24"/>
          <w:szCs w:val="24"/>
        </w:rPr>
        <w:t>Early results indicate some contribution to surface roughness from the annealing process.</w:t>
      </w:r>
    </w:p>
    <w:sectPr w:rsidR="002D699C" w:rsidRPr="002D69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99C"/>
    <w:rsid w:val="0018367E"/>
    <w:rsid w:val="002D699C"/>
    <w:rsid w:val="00407AFE"/>
    <w:rsid w:val="00542F1A"/>
    <w:rsid w:val="007B55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8D4222-5C7C-4644-86CC-E34BBE552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367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3041037">
      <w:bodyDiv w:val="1"/>
      <w:marLeft w:val="0"/>
      <w:marRight w:val="0"/>
      <w:marTop w:val="0"/>
      <w:marBottom w:val="0"/>
      <w:divBdr>
        <w:top w:val="none" w:sz="0" w:space="0" w:color="auto"/>
        <w:left w:val="none" w:sz="0" w:space="0" w:color="auto"/>
        <w:bottom w:val="none" w:sz="0" w:space="0" w:color="auto"/>
        <w:right w:val="none" w:sz="0" w:space="0" w:color="auto"/>
      </w:divBdr>
    </w:div>
    <w:div w:id="209651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204</Words>
  <Characters>1163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Landon</dc:creator>
  <cp:keywords/>
  <dc:description/>
  <cp:lastModifiedBy>Landon</cp:lastModifiedBy>
  <cp:revision>2</cp:revision>
  <dcterms:created xsi:type="dcterms:W3CDTF">2014-10-29T15:15:00Z</dcterms:created>
  <dcterms:modified xsi:type="dcterms:W3CDTF">2014-10-29T15:15:00Z</dcterms:modified>
</cp:coreProperties>
</file>