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8FC" w:rsidRPr="00AC6310" w:rsidRDefault="004358FC" w:rsidP="004358FC">
      <w:pPr>
        <w:spacing w:line="480" w:lineRule="auto"/>
        <w:jc w:val="center"/>
        <w:rPr>
          <w:rFonts w:ascii="Times New Roman" w:hAnsi="Times New Roman" w:cs="Times New Roman"/>
          <w:sz w:val="24"/>
          <w:szCs w:val="24"/>
          <w:u w:val="single"/>
          <w:lang w:val="en-US"/>
        </w:rPr>
      </w:pPr>
    </w:p>
    <w:p w:rsidR="004358FC" w:rsidRDefault="004358FC" w:rsidP="004358FC">
      <w:pPr>
        <w:spacing w:line="480" w:lineRule="auto"/>
        <w:jc w:val="center"/>
        <w:rPr>
          <w:rFonts w:ascii="Times New Roman" w:hAnsi="Times New Roman" w:cs="Times New Roman"/>
          <w:b/>
          <w:sz w:val="24"/>
          <w:szCs w:val="24"/>
          <w:lang w:val="en-US"/>
        </w:rPr>
      </w:pPr>
      <w:r w:rsidRPr="00AC6310">
        <w:rPr>
          <w:rFonts w:ascii="Times New Roman" w:hAnsi="Times New Roman" w:cs="Times New Roman"/>
          <w:b/>
          <w:sz w:val="24"/>
          <w:szCs w:val="24"/>
          <w:lang w:val="en-US"/>
        </w:rPr>
        <w:t>Analysis of Flux Reduction Behaviors of PRO Hollow Fiber Membranes</w:t>
      </w:r>
      <w:proofErr w:type="gramStart"/>
      <w:r w:rsidRPr="00AC6310">
        <w:rPr>
          <w:rFonts w:ascii="Times New Roman" w:hAnsi="Times New Roman" w:cs="Times New Roman"/>
          <w:b/>
          <w:sz w:val="24"/>
          <w:szCs w:val="24"/>
          <w:lang w:val="en-US"/>
        </w:rPr>
        <w:t>:</w:t>
      </w:r>
      <w:proofErr w:type="gramEnd"/>
      <w:r w:rsidRPr="00AC6310">
        <w:rPr>
          <w:rFonts w:ascii="Times New Roman" w:hAnsi="Times New Roman" w:cs="Times New Roman"/>
          <w:b/>
          <w:sz w:val="24"/>
          <w:szCs w:val="24"/>
          <w:lang w:val="en-US"/>
        </w:rPr>
        <w:br/>
        <w:t>Experiments, Mechanisms, and Implications</w:t>
      </w:r>
    </w:p>
    <w:p w:rsidR="004358FC" w:rsidRPr="00AC6310" w:rsidRDefault="004358FC" w:rsidP="004358FC">
      <w:pPr>
        <w:spacing w:line="480" w:lineRule="auto"/>
        <w:jc w:val="center"/>
        <w:rPr>
          <w:rFonts w:ascii="Times New Roman" w:hAnsi="Times New Roman" w:cs="Times New Roman"/>
          <w:sz w:val="24"/>
          <w:szCs w:val="24"/>
        </w:rPr>
      </w:pPr>
      <w:r w:rsidRPr="00AC6310">
        <w:rPr>
          <w:rFonts w:ascii="Times New Roman" w:hAnsi="Times New Roman" w:cs="Times New Roman"/>
          <w:sz w:val="24"/>
          <w:szCs w:val="24"/>
        </w:rPr>
        <w:t xml:space="preserve">Jun Ying Xiong </w:t>
      </w:r>
      <w:r w:rsidRPr="00AC6310">
        <w:rPr>
          <w:rFonts w:ascii="Times New Roman" w:hAnsi="Times New Roman" w:cs="Times New Roman"/>
          <w:sz w:val="24"/>
          <w:szCs w:val="24"/>
          <w:vertAlign w:val="superscript"/>
        </w:rPr>
        <w:t>a</w:t>
      </w:r>
      <w:r w:rsidRPr="00AC6310">
        <w:rPr>
          <w:rFonts w:ascii="Times New Roman" w:hAnsi="Times New Roman" w:cs="Times New Roman"/>
          <w:sz w:val="24"/>
          <w:szCs w:val="24"/>
        </w:rPr>
        <w:t xml:space="preserve">, Zhen Lei Cheng </w:t>
      </w:r>
      <w:r w:rsidRPr="00AC6310">
        <w:rPr>
          <w:rFonts w:ascii="Times New Roman" w:hAnsi="Times New Roman" w:cs="Times New Roman"/>
          <w:sz w:val="24"/>
          <w:szCs w:val="24"/>
          <w:vertAlign w:val="superscript"/>
        </w:rPr>
        <w:t>a</w:t>
      </w:r>
      <w:proofErr w:type="gramStart"/>
      <w:r w:rsidRPr="00AC6310">
        <w:rPr>
          <w:rFonts w:ascii="Times New Roman" w:hAnsi="Times New Roman" w:cs="Times New Roman"/>
          <w:sz w:val="24"/>
          <w:szCs w:val="24"/>
          <w:vertAlign w:val="superscript"/>
        </w:rPr>
        <w:t>,1</w:t>
      </w:r>
      <w:proofErr w:type="gramEnd"/>
      <w:r w:rsidRPr="00AC6310">
        <w:rPr>
          <w:rFonts w:ascii="Times New Roman" w:hAnsi="Times New Roman" w:cs="Times New Roman"/>
          <w:sz w:val="24"/>
          <w:szCs w:val="24"/>
        </w:rPr>
        <w:t xml:space="preserve">, Chun Feng Wan </w:t>
      </w:r>
      <w:r w:rsidRPr="00AC6310">
        <w:rPr>
          <w:rFonts w:ascii="Times New Roman" w:hAnsi="Times New Roman" w:cs="Times New Roman"/>
          <w:sz w:val="24"/>
          <w:szCs w:val="24"/>
          <w:vertAlign w:val="superscript"/>
        </w:rPr>
        <w:t>a,1</w:t>
      </w:r>
      <w:r w:rsidRPr="00AC6310">
        <w:rPr>
          <w:rFonts w:ascii="Times New Roman" w:hAnsi="Times New Roman" w:cs="Times New Roman"/>
          <w:sz w:val="24"/>
          <w:szCs w:val="24"/>
        </w:rPr>
        <w:t>,</w:t>
      </w:r>
      <w:bookmarkStart w:id="0" w:name="_GoBack"/>
      <w:bookmarkEnd w:id="0"/>
    </w:p>
    <w:p w:rsidR="004358FC" w:rsidRPr="00AC6310" w:rsidRDefault="004358FC" w:rsidP="004358FC">
      <w:pPr>
        <w:spacing w:line="480" w:lineRule="auto"/>
        <w:jc w:val="center"/>
        <w:rPr>
          <w:rFonts w:ascii="Times New Roman" w:hAnsi="Times New Roman" w:cs="Times New Roman"/>
          <w:sz w:val="24"/>
          <w:szCs w:val="24"/>
        </w:rPr>
      </w:pPr>
      <w:r w:rsidRPr="00AC6310">
        <w:rPr>
          <w:rFonts w:ascii="Times New Roman" w:hAnsi="Times New Roman" w:cs="Times New Roman"/>
          <w:sz w:val="24"/>
          <w:szCs w:val="24"/>
        </w:rPr>
        <w:t xml:space="preserve">Si Cong Chen </w:t>
      </w:r>
      <w:r w:rsidRPr="00AC6310">
        <w:rPr>
          <w:rFonts w:ascii="Times New Roman" w:hAnsi="Times New Roman" w:cs="Times New Roman"/>
          <w:sz w:val="24"/>
          <w:szCs w:val="24"/>
          <w:vertAlign w:val="superscript"/>
        </w:rPr>
        <w:t>a</w:t>
      </w:r>
      <w:r w:rsidRPr="00AC6310">
        <w:rPr>
          <w:rFonts w:ascii="Times New Roman" w:hAnsi="Times New Roman" w:cs="Times New Roman"/>
          <w:sz w:val="24"/>
          <w:szCs w:val="24"/>
        </w:rPr>
        <w:t>, Tai-Shung</w:t>
      </w:r>
      <w:r w:rsidRPr="00AC6310">
        <w:rPr>
          <w:rFonts w:ascii="Times New Roman" w:hAnsi="Times New Roman" w:cs="Times New Roman"/>
          <w:sz w:val="24"/>
          <w:szCs w:val="24"/>
          <w:vertAlign w:val="superscript"/>
        </w:rPr>
        <w:t xml:space="preserve"> </w:t>
      </w:r>
      <w:r w:rsidRPr="00AC6310">
        <w:rPr>
          <w:rFonts w:ascii="Times New Roman" w:hAnsi="Times New Roman" w:cs="Times New Roman"/>
          <w:sz w:val="24"/>
          <w:szCs w:val="24"/>
        </w:rPr>
        <w:t xml:space="preserve">Chung </w:t>
      </w:r>
      <w:proofErr w:type="spellStart"/>
      <w:r w:rsidRPr="00AC6310">
        <w:rPr>
          <w:rFonts w:ascii="Times New Roman" w:hAnsi="Times New Roman" w:cs="Times New Roman"/>
          <w:sz w:val="24"/>
          <w:szCs w:val="24"/>
          <w:vertAlign w:val="superscript"/>
        </w:rPr>
        <w:t>a</w:t>
      </w:r>
      <w:proofErr w:type="gramStart"/>
      <w:r w:rsidRPr="00AC6310">
        <w:rPr>
          <w:rFonts w:ascii="Times New Roman" w:hAnsi="Times New Roman" w:cs="Times New Roman"/>
          <w:sz w:val="24"/>
          <w:szCs w:val="24"/>
          <w:vertAlign w:val="superscript"/>
        </w:rPr>
        <w:t>,b</w:t>
      </w:r>
      <w:proofErr w:type="spellEnd"/>
      <w:proofErr w:type="gramEnd"/>
      <w:r w:rsidRPr="00AC6310">
        <w:rPr>
          <w:rFonts w:ascii="Times New Roman" w:hAnsi="Times New Roman" w:cs="Times New Roman"/>
          <w:sz w:val="24"/>
          <w:szCs w:val="24"/>
          <w:vertAlign w:val="superscript"/>
        </w:rPr>
        <w:t>,</w:t>
      </w:r>
      <w:r w:rsidRPr="00AC6310">
        <w:rPr>
          <w:rFonts w:ascii="Times New Roman" w:hAnsi="Times New Roman" w:cs="Times New Roman"/>
          <w:sz w:val="24"/>
          <w:szCs w:val="24"/>
        </w:rPr>
        <w:t>*</w:t>
      </w:r>
    </w:p>
    <w:p w:rsidR="004358FC" w:rsidRPr="00AC6310" w:rsidRDefault="004358FC" w:rsidP="004358FC">
      <w:pPr>
        <w:spacing w:line="480" w:lineRule="auto"/>
        <w:jc w:val="center"/>
        <w:rPr>
          <w:rFonts w:ascii="Times New Roman" w:hAnsi="Times New Roman" w:cs="Times New Roman"/>
          <w:sz w:val="24"/>
          <w:szCs w:val="24"/>
        </w:rPr>
      </w:pPr>
      <w:r w:rsidRPr="00AC6310">
        <w:rPr>
          <w:rFonts w:ascii="Times New Roman" w:hAnsi="Times New Roman" w:cs="Times New Roman"/>
          <w:sz w:val="24"/>
          <w:szCs w:val="24"/>
          <w:vertAlign w:val="superscript"/>
        </w:rPr>
        <w:t>a</w:t>
      </w:r>
      <w:r w:rsidRPr="00AC6310">
        <w:rPr>
          <w:rFonts w:ascii="Times New Roman" w:hAnsi="Times New Roman" w:cs="Times New Roman"/>
          <w:sz w:val="24"/>
          <w:szCs w:val="24"/>
        </w:rPr>
        <w:t xml:space="preserve"> Department of Chemical and Biomolecular Engineering, National University of Singapore, 4 Engineering Drive 4, Singapore 117585, Singapore</w:t>
      </w:r>
    </w:p>
    <w:p w:rsidR="004358FC" w:rsidRPr="00AC6310" w:rsidRDefault="004358FC" w:rsidP="004358FC">
      <w:pPr>
        <w:spacing w:line="480" w:lineRule="auto"/>
        <w:jc w:val="center"/>
        <w:rPr>
          <w:rFonts w:ascii="Times New Roman" w:hAnsi="Times New Roman" w:cs="Times New Roman"/>
          <w:sz w:val="24"/>
          <w:szCs w:val="24"/>
        </w:rPr>
      </w:pPr>
      <w:proofErr w:type="gramStart"/>
      <w:r w:rsidRPr="00AC6310">
        <w:rPr>
          <w:rFonts w:ascii="Times New Roman" w:hAnsi="Times New Roman" w:cs="Times New Roman"/>
          <w:sz w:val="24"/>
          <w:szCs w:val="24"/>
          <w:vertAlign w:val="superscript"/>
        </w:rPr>
        <w:t>b</w:t>
      </w:r>
      <w:proofErr w:type="gramEnd"/>
      <w:r w:rsidRPr="00AC6310">
        <w:rPr>
          <w:rFonts w:ascii="Times New Roman" w:hAnsi="Times New Roman" w:cs="Times New Roman"/>
          <w:sz w:val="24"/>
          <w:szCs w:val="24"/>
        </w:rPr>
        <w:t xml:space="preserve"> Water Desalination &amp; Reuse (WDR) Center, King Abdullah University of Science and Technology, Thuwal 23955-6900, Saudi Arabia</w:t>
      </w:r>
    </w:p>
    <w:p w:rsidR="004358FC" w:rsidRPr="00AC6310" w:rsidRDefault="004358FC" w:rsidP="004358FC">
      <w:pPr>
        <w:spacing w:after="0" w:line="480" w:lineRule="auto"/>
        <w:jc w:val="center"/>
        <w:rPr>
          <w:rStyle w:val="Hyperlink"/>
          <w:rFonts w:ascii="Times New Roman" w:hAnsi="Times New Roman" w:cs="Times New Roman"/>
          <w:sz w:val="24"/>
          <w:szCs w:val="24"/>
        </w:rPr>
      </w:pPr>
      <w:r w:rsidRPr="00AC6310">
        <w:rPr>
          <w:rFonts w:ascii="Times New Roman" w:hAnsi="Times New Roman" w:cs="Times New Roman"/>
          <w:sz w:val="24"/>
          <w:szCs w:val="24"/>
        </w:rPr>
        <w:t xml:space="preserve">* Corresponding author: Tel.: +65 6516 6645, Email: </w:t>
      </w:r>
      <w:hyperlink r:id="rId4" w:history="1">
        <w:r w:rsidRPr="00AC6310">
          <w:rPr>
            <w:rStyle w:val="Hyperlink"/>
            <w:rFonts w:ascii="Times New Roman" w:hAnsi="Times New Roman" w:cs="Times New Roman"/>
            <w:sz w:val="24"/>
            <w:szCs w:val="24"/>
          </w:rPr>
          <w:t>chencts@nus.edu.sg</w:t>
        </w:r>
      </w:hyperlink>
    </w:p>
    <w:p w:rsidR="004358FC" w:rsidRPr="00AC6310" w:rsidRDefault="004358FC" w:rsidP="004358FC">
      <w:pPr>
        <w:spacing w:line="480" w:lineRule="auto"/>
        <w:jc w:val="center"/>
        <w:rPr>
          <w:rFonts w:ascii="Times New Roman" w:hAnsi="Times New Roman" w:cs="Times New Roman"/>
          <w:sz w:val="24"/>
          <w:szCs w:val="24"/>
        </w:rPr>
      </w:pPr>
      <w:r w:rsidRPr="00AC6310">
        <w:rPr>
          <w:rFonts w:ascii="Times New Roman" w:hAnsi="Times New Roman" w:cs="Times New Roman"/>
          <w:sz w:val="24"/>
          <w:szCs w:val="24"/>
          <w:vertAlign w:val="superscript"/>
        </w:rPr>
        <w:t xml:space="preserve">1 </w:t>
      </w:r>
      <w:r w:rsidRPr="00AC6310">
        <w:rPr>
          <w:rFonts w:ascii="Times New Roman" w:hAnsi="Times New Roman" w:cs="Times New Roman"/>
          <w:sz w:val="24"/>
          <w:szCs w:val="24"/>
        </w:rPr>
        <w:t>These authors contributed equally to this study.</w:t>
      </w:r>
    </w:p>
    <w:p w:rsidR="004358FC" w:rsidRPr="00AC6310"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Default="004358FC" w:rsidP="004358FC">
      <w:pPr>
        <w:spacing w:line="480" w:lineRule="auto"/>
        <w:rPr>
          <w:rFonts w:ascii="Times New Roman" w:hAnsi="Times New Roman" w:cs="Times New Roman"/>
          <w:sz w:val="24"/>
          <w:szCs w:val="24"/>
        </w:rPr>
      </w:pPr>
    </w:p>
    <w:p w:rsidR="004358FC"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Pr="00AC6310" w:rsidRDefault="004358FC" w:rsidP="004358FC">
      <w:pPr>
        <w:spacing w:line="480" w:lineRule="auto"/>
        <w:rPr>
          <w:rFonts w:ascii="Times New Roman" w:hAnsi="Times New Roman" w:cs="Times New Roman"/>
          <w:sz w:val="24"/>
          <w:szCs w:val="24"/>
        </w:rPr>
      </w:pPr>
    </w:p>
    <w:p w:rsidR="004358FC" w:rsidRPr="006661BB" w:rsidRDefault="004358FC" w:rsidP="004358FC">
      <w:pPr>
        <w:spacing w:line="480" w:lineRule="auto"/>
        <w:rPr>
          <w:rFonts w:ascii="Times New Roman" w:hAnsi="Times New Roman" w:cs="Times New Roman"/>
          <w:b/>
          <w:sz w:val="24"/>
          <w:szCs w:val="24"/>
        </w:rPr>
      </w:pPr>
      <w:r w:rsidRPr="006661BB">
        <w:rPr>
          <w:rFonts w:ascii="Times New Roman" w:hAnsi="Times New Roman" w:cs="Times New Roman"/>
          <w:b/>
          <w:sz w:val="24"/>
          <w:szCs w:val="24"/>
        </w:rPr>
        <w:lastRenderedPageBreak/>
        <w:t>Abstract</w:t>
      </w:r>
    </w:p>
    <w:p w:rsidR="004358FC" w:rsidRPr="00AC6310" w:rsidRDefault="004358FC" w:rsidP="004358FC">
      <w:pPr>
        <w:spacing w:line="480" w:lineRule="auto"/>
        <w:jc w:val="both"/>
        <w:rPr>
          <w:rFonts w:ascii="Times New Roman" w:hAnsi="Times New Roman" w:cs="Times New Roman"/>
          <w:sz w:val="24"/>
          <w:szCs w:val="24"/>
        </w:rPr>
      </w:pPr>
      <w:r w:rsidRPr="006661BB">
        <w:rPr>
          <w:rFonts w:ascii="Times New Roman" w:hAnsi="Times New Roman" w:cs="Times New Roman"/>
          <w:sz w:val="24"/>
          <w:szCs w:val="24"/>
        </w:rPr>
        <w:t xml:space="preserve">Pressure retarded osmosis (PRO) is a promising technology to harvest renewable osmotic energy using a semipermeable membrane. However, a significant flux reduction has been always observed that severely shrinks the harvestable power to a level only marginally higher or even lower than the economically feasible value. This work focuses on the elucidation of various underlying mechanisms responsible for the flux reduction. First, both inner-selective and outer-selective thin film composite (TFC) hollow fiber membranes are employed to examine how the fundamental </w:t>
      </w:r>
      <w:r w:rsidRPr="006661BB">
        <w:rPr>
          <w:rFonts w:ascii="Times New Roman" w:hAnsi="Times New Roman" w:cs="Times New Roman"/>
          <w:i/>
          <w:sz w:val="24"/>
          <w:szCs w:val="24"/>
        </w:rPr>
        <w:t>internal</w:t>
      </w:r>
      <w:r w:rsidRPr="006661BB">
        <w:rPr>
          <w:rFonts w:ascii="Times New Roman" w:hAnsi="Times New Roman" w:cs="Times New Roman"/>
          <w:sz w:val="24"/>
          <w:szCs w:val="24"/>
        </w:rPr>
        <w:t xml:space="preserve"> factors (such as the surface salinity of the selective layer at the feed side (</w:t>
      </w:r>
      <w:r w:rsidRPr="0069692F">
        <w:rPr>
          <w:rFonts w:ascii="Times New Roman" w:hAnsi="Times New Roman" w:cs="Times New Roman"/>
          <w:sz w:val="24"/>
          <w:szCs w:val="24"/>
        </w:rPr>
        <w:t>C</w:t>
      </w:r>
      <w:r w:rsidRPr="0069692F">
        <w:rPr>
          <w:rFonts w:ascii="Times New Roman" w:hAnsi="Times New Roman" w:cs="Times New Roman"/>
          <w:sz w:val="24"/>
          <w:szCs w:val="24"/>
          <w:vertAlign w:val="subscript"/>
        </w:rPr>
        <w:t>F</w:t>
      </w:r>
      <w:proofErr w:type="gramStart"/>
      <w:r w:rsidRPr="0069692F">
        <w:rPr>
          <w:rFonts w:ascii="Times New Roman" w:hAnsi="Times New Roman" w:cs="Times New Roman"/>
          <w:sz w:val="24"/>
          <w:szCs w:val="24"/>
          <w:vertAlign w:val="subscript"/>
        </w:rPr>
        <w:t>,m</w:t>
      </w:r>
      <w:proofErr w:type="gramEnd"/>
      <w:r w:rsidRPr="006661BB">
        <w:rPr>
          <w:rFonts w:ascii="Times New Roman" w:hAnsi="Times New Roman" w:cs="Times New Roman"/>
          <w:sz w:val="24"/>
          <w:szCs w:val="24"/>
        </w:rPr>
        <w:t xml:space="preserve">) and its components) interact with one another under the fixed bulk salinity gradient, resulting in various behaviours of </w:t>
      </w:r>
      <w:r w:rsidRPr="006661BB">
        <w:rPr>
          <w:rFonts w:ascii="Times New Roman" w:hAnsi="Times New Roman" w:cs="Times New Roman"/>
          <w:i/>
          <w:sz w:val="24"/>
          <w:szCs w:val="24"/>
        </w:rPr>
        <w:t>external</w:t>
      </w:r>
      <w:r w:rsidRPr="006661BB">
        <w:rPr>
          <w:rFonts w:ascii="Times New Roman" w:hAnsi="Times New Roman" w:cs="Times New Roman"/>
          <w:sz w:val="24"/>
          <w:szCs w:val="24"/>
        </w:rPr>
        <w:t xml:space="preserve"> performance indexes such as water flux, reverse salt flux, and power density. Then, the research is extended to investigate the effects of the growing bulk feed salinity due to the accumulated reverse salt flux along PRO modules. Finally, the insights obtained from the prior two stationary conditions are combined with the advanced nucleation theory to elucidate the dynamic scaling process by visualizing how the multiple fundamental factors (such as local supersaturation, nucleation rate and nuclei size) interplay with one another in various membrane regimes and how they evolve during the whole</w:t>
      </w:r>
      <w:r>
        <w:rPr>
          <w:rFonts w:ascii="Times New Roman" w:hAnsi="Times New Roman" w:cs="Times New Roman"/>
          <w:sz w:val="24"/>
          <w:szCs w:val="24"/>
        </w:rPr>
        <w:t xml:space="preserve"> </w:t>
      </w:r>
      <w:r w:rsidRPr="00AC6310">
        <w:rPr>
          <w:rFonts w:ascii="Times New Roman" w:hAnsi="Times New Roman" w:cs="Times New Roman"/>
          <w:sz w:val="24"/>
          <w:szCs w:val="24"/>
        </w:rPr>
        <w:t xml:space="preserve">scaling </w:t>
      </w:r>
      <w:r w:rsidRPr="006661BB">
        <w:rPr>
          <w:rFonts w:ascii="Times New Roman" w:hAnsi="Times New Roman" w:cs="Times New Roman"/>
          <w:sz w:val="24"/>
          <w:szCs w:val="24"/>
        </w:rPr>
        <w:t>process. To our best knowledge, it is the first time that the advanced nucleation theory is applied to study the PRO</w:t>
      </w:r>
      <w:r w:rsidRPr="00AC6310">
        <w:rPr>
          <w:rFonts w:ascii="Times New Roman" w:hAnsi="Times New Roman" w:cs="Times New Roman"/>
          <w:sz w:val="24"/>
          <w:szCs w:val="24"/>
        </w:rPr>
        <w:t xml:space="preserve"> scaling kinetics in order to provide subtle and clear pictures of the events occurring inside the membrane. This study may provide useful insights to design more suitable TFC hollow fiber membranes and to operate them with enhanced water flux so that the PRO process may become more promising in the near future.</w:t>
      </w:r>
    </w:p>
    <w:p w:rsidR="004358FC" w:rsidRPr="00AC6310" w:rsidRDefault="004358FC" w:rsidP="004358FC">
      <w:pPr>
        <w:spacing w:after="0" w:line="480" w:lineRule="auto"/>
        <w:jc w:val="both"/>
        <w:rPr>
          <w:rFonts w:ascii="Times New Roman" w:hAnsi="Times New Roman" w:cs="Times New Roman"/>
          <w:sz w:val="24"/>
          <w:szCs w:val="24"/>
        </w:rPr>
      </w:pPr>
      <w:r w:rsidRPr="00AC6310">
        <w:rPr>
          <w:rFonts w:ascii="Times New Roman" w:hAnsi="Times New Roman" w:cs="Times New Roman"/>
          <w:b/>
          <w:sz w:val="24"/>
          <w:szCs w:val="24"/>
        </w:rPr>
        <w:t>Keywords</w:t>
      </w:r>
      <w:r w:rsidRPr="00AC6310">
        <w:rPr>
          <w:rFonts w:ascii="Times New Roman" w:hAnsi="Times New Roman" w:cs="Times New Roman"/>
          <w:sz w:val="24"/>
          <w:szCs w:val="24"/>
        </w:rPr>
        <w:t xml:space="preserve">: </w:t>
      </w:r>
    </w:p>
    <w:p w:rsidR="004358FC" w:rsidRDefault="004358FC" w:rsidP="004358FC">
      <w:pPr>
        <w:spacing w:after="0" w:line="480" w:lineRule="auto"/>
        <w:jc w:val="both"/>
        <w:rPr>
          <w:rFonts w:ascii="Times New Roman" w:hAnsi="Times New Roman" w:cs="Times New Roman"/>
          <w:sz w:val="24"/>
          <w:szCs w:val="24"/>
        </w:rPr>
      </w:pPr>
      <w:r w:rsidRPr="00AC6310">
        <w:rPr>
          <w:rFonts w:ascii="Times New Roman" w:hAnsi="Times New Roman" w:cs="Times New Roman"/>
          <w:sz w:val="24"/>
          <w:szCs w:val="24"/>
        </w:rPr>
        <w:t>Pressure retarded osmosis (PRO); Flux reduction behaviour; Outer-selective hollow fiber membrane; Inner-selective hollow fiber membrane, Gypsum scaling</w:t>
      </w:r>
    </w:p>
    <w:p w:rsidR="00877357" w:rsidRDefault="00877357"/>
    <w:sectPr w:rsidR="008773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8FC"/>
    <w:rsid w:val="00295D85"/>
    <w:rsid w:val="004358FC"/>
    <w:rsid w:val="00877357"/>
    <w:rsid w:val="00A4030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BD862-109C-48EC-82C2-C44C7C4C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8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8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encts@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Xiong Junying</dc:creator>
  <cp:keywords/>
  <dc:description/>
  <cp:lastModifiedBy>Xiong Junying</cp:lastModifiedBy>
  <cp:revision>2</cp:revision>
  <dcterms:created xsi:type="dcterms:W3CDTF">2016-02-19T03:49:00Z</dcterms:created>
  <dcterms:modified xsi:type="dcterms:W3CDTF">2016-02-19T03:49:00Z</dcterms:modified>
</cp:coreProperties>
</file>