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1424" w:rsidRDefault="00A010CF" w:rsidP="002B7F74">
      <w:pPr>
        <w:spacing w:after="0" w:line="360" w:lineRule="auto"/>
        <w:jc w:val="center"/>
        <w:rPr>
          <w:rFonts w:ascii="Palatino Linotype" w:hAnsi="Palatino Linotype"/>
          <w:b/>
        </w:rPr>
      </w:pPr>
      <w:r>
        <w:rPr>
          <w:rFonts w:ascii="Palatino Linotype" w:hAnsi="Palatino Linotype"/>
          <w:b/>
        </w:rPr>
        <w:t>Modeling</w:t>
      </w:r>
      <w:r w:rsidR="00C91424">
        <w:rPr>
          <w:rFonts w:ascii="Palatino Linotype" w:hAnsi="Palatino Linotype"/>
          <w:b/>
        </w:rPr>
        <w:t xml:space="preserve"> </w:t>
      </w:r>
      <w:r w:rsidR="002B7F74">
        <w:rPr>
          <w:rFonts w:ascii="Palatino Linotype" w:hAnsi="Palatino Linotype"/>
          <w:b/>
        </w:rPr>
        <w:t>g</w:t>
      </w:r>
      <w:r w:rsidR="0096366F">
        <w:rPr>
          <w:rFonts w:ascii="Palatino Linotype" w:hAnsi="Palatino Linotype"/>
          <w:b/>
        </w:rPr>
        <w:t>as so</w:t>
      </w:r>
      <w:r w:rsidR="00C91424">
        <w:rPr>
          <w:rFonts w:ascii="Palatino Linotype" w:hAnsi="Palatino Linotype"/>
          <w:b/>
        </w:rPr>
        <w:t>rption</w:t>
      </w:r>
      <w:r w:rsidR="0096366F">
        <w:rPr>
          <w:rFonts w:ascii="Palatino Linotype" w:hAnsi="Palatino Linotype"/>
          <w:b/>
        </w:rPr>
        <w:t xml:space="preserve"> </w:t>
      </w:r>
      <w:r>
        <w:rPr>
          <w:rFonts w:ascii="Palatino Linotype" w:hAnsi="Palatino Linotype"/>
          <w:b/>
        </w:rPr>
        <w:t>in</w:t>
      </w:r>
      <w:r w:rsidR="00C91424">
        <w:rPr>
          <w:rFonts w:ascii="Palatino Linotype" w:hAnsi="Palatino Linotype"/>
          <w:b/>
        </w:rPr>
        <w:t xml:space="preserve"> </w:t>
      </w:r>
      <w:r w:rsidR="00295272">
        <w:rPr>
          <w:rFonts w:ascii="Palatino Linotype" w:hAnsi="Palatino Linotype"/>
          <w:b/>
        </w:rPr>
        <w:t>thermally r</w:t>
      </w:r>
      <w:r w:rsidR="00EA3822">
        <w:rPr>
          <w:rFonts w:ascii="Palatino Linotype" w:hAnsi="Palatino Linotype"/>
          <w:b/>
        </w:rPr>
        <w:t xml:space="preserve">earranged </w:t>
      </w:r>
      <w:r w:rsidR="00C91424">
        <w:rPr>
          <w:rFonts w:ascii="Palatino Linotype" w:hAnsi="Palatino Linotype"/>
          <w:b/>
        </w:rPr>
        <w:t xml:space="preserve">polymers: </w:t>
      </w:r>
    </w:p>
    <w:p w:rsidR="00EA3822" w:rsidRDefault="00C91424" w:rsidP="002B7F74">
      <w:pPr>
        <w:spacing w:after="0" w:line="360" w:lineRule="auto"/>
        <w:jc w:val="center"/>
        <w:rPr>
          <w:rFonts w:ascii="Palatino Linotype" w:hAnsi="Palatino Linotype"/>
          <w:b/>
        </w:rPr>
      </w:pPr>
      <w:r>
        <w:rPr>
          <w:rFonts w:ascii="Palatino Linotype" w:hAnsi="Palatino Linotype"/>
          <w:b/>
        </w:rPr>
        <w:t>a thermodynamic approach</w:t>
      </w:r>
    </w:p>
    <w:p w:rsidR="002B7F74" w:rsidRPr="008934C1" w:rsidRDefault="002B7F74" w:rsidP="002B7F74">
      <w:pPr>
        <w:spacing w:after="0" w:line="360" w:lineRule="auto"/>
        <w:jc w:val="center"/>
        <w:rPr>
          <w:rFonts w:ascii="Palatino Linotype" w:hAnsi="Palatino Linotype"/>
          <w:b/>
        </w:rPr>
      </w:pPr>
    </w:p>
    <w:p w:rsidR="008934C1" w:rsidRDefault="008934C1" w:rsidP="008934C1">
      <w:pPr>
        <w:spacing w:line="360" w:lineRule="auto"/>
        <w:jc w:val="center"/>
        <w:rPr>
          <w:rFonts w:ascii="Palatino Linotype" w:hAnsi="Palatino Linotype"/>
        </w:rPr>
      </w:pPr>
      <w:r>
        <w:rPr>
          <w:rFonts w:ascii="Palatino Linotype" w:hAnsi="Palatino Linotype"/>
        </w:rPr>
        <w:t xml:space="preserve">Michele Galizia, </w:t>
      </w:r>
      <w:r w:rsidR="0096366F">
        <w:rPr>
          <w:rFonts w:ascii="Palatino Linotype" w:hAnsi="Palatino Linotype"/>
        </w:rPr>
        <w:t xml:space="preserve">Kevin </w:t>
      </w:r>
      <w:r w:rsidR="008009AE">
        <w:rPr>
          <w:rFonts w:ascii="Palatino Linotype" w:hAnsi="Palatino Linotype"/>
        </w:rPr>
        <w:t xml:space="preserve">A. </w:t>
      </w:r>
      <w:r w:rsidR="0096366F">
        <w:rPr>
          <w:rFonts w:ascii="Palatino Linotype" w:hAnsi="Palatino Linotype"/>
        </w:rPr>
        <w:t xml:space="preserve">Stevens, Zachary P. Smith, </w:t>
      </w:r>
      <w:r>
        <w:rPr>
          <w:rFonts w:ascii="Palatino Linotype" w:hAnsi="Palatino Linotype"/>
        </w:rPr>
        <w:t>Donald R. Paul, Benny D. Freeman</w:t>
      </w:r>
    </w:p>
    <w:p w:rsidR="008934C1" w:rsidRPr="0096366F" w:rsidRDefault="008934C1" w:rsidP="008934C1">
      <w:pPr>
        <w:spacing w:after="0"/>
        <w:jc w:val="center"/>
        <w:rPr>
          <w:rFonts w:ascii="Palatino Linotype" w:hAnsi="Palatino Linotype"/>
          <w:i/>
          <w:sz w:val="20"/>
          <w:szCs w:val="20"/>
        </w:rPr>
      </w:pPr>
      <w:r w:rsidRPr="0096366F">
        <w:rPr>
          <w:rFonts w:ascii="Palatino Linotype" w:hAnsi="Palatino Linotype"/>
          <w:i/>
          <w:sz w:val="20"/>
          <w:szCs w:val="20"/>
        </w:rPr>
        <w:t xml:space="preserve">J.McKetta Department of Chemical Engineering, 200 E. Dean Keeton Street, 78712 Austin, </w:t>
      </w:r>
    </w:p>
    <w:p w:rsidR="008934C1" w:rsidRPr="0096366F" w:rsidRDefault="008934C1" w:rsidP="008934C1">
      <w:pPr>
        <w:spacing w:after="0"/>
        <w:jc w:val="center"/>
        <w:rPr>
          <w:rFonts w:ascii="Palatino Linotype" w:hAnsi="Palatino Linotype"/>
          <w:i/>
          <w:sz w:val="20"/>
          <w:szCs w:val="20"/>
        </w:rPr>
      </w:pPr>
      <w:r w:rsidRPr="0096366F">
        <w:rPr>
          <w:rFonts w:ascii="Palatino Linotype" w:hAnsi="Palatino Linotype"/>
          <w:i/>
          <w:sz w:val="20"/>
          <w:szCs w:val="20"/>
        </w:rPr>
        <w:t xml:space="preserve">and Center for Energy and Environmental Resources, 10100 Burnet Road, 78758 Austin, </w:t>
      </w:r>
    </w:p>
    <w:p w:rsidR="008934C1" w:rsidRPr="0096366F" w:rsidRDefault="008934C1" w:rsidP="008934C1">
      <w:pPr>
        <w:spacing w:after="0"/>
        <w:jc w:val="center"/>
        <w:rPr>
          <w:rFonts w:ascii="Palatino Linotype" w:hAnsi="Palatino Linotype"/>
          <w:i/>
          <w:sz w:val="20"/>
          <w:szCs w:val="20"/>
        </w:rPr>
      </w:pPr>
      <w:r w:rsidRPr="0096366F">
        <w:rPr>
          <w:rFonts w:ascii="Palatino Linotype" w:hAnsi="Palatino Linotype"/>
          <w:i/>
          <w:sz w:val="20"/>
          <w:szCs w:val="20"/>
        </w:rPr>
        <w:t>The University of Texas at Austin, Texas (USA)</w:t>
      </w:r>
    </w:p>
    <w:p w:rsidR="008934C1" w:rsidRDefault="008934C1" w:rsidP="008934C1">
      <w:pPr>
        <w:spacing w:line="360" w:lineRule="auto"/>
        <w:jc w:val="both"/>
        <w:rPr>
          <w:rFonts w:ascii="Palatino Linotype" w:hAnsi="Palatino Linotype"/>
        </w:rPr>
      </w:pPr>
    </w:p>
    <w:p w:rsidR="008934C1" w:rsidRPr="00541F0C" w:rsidRDefault="00BB5FF9" w:rsidP="0096366F">
      <w:pPr>
        <w:spacing w:line="360" w:lineRule="auto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>T</w:t>
      </w:r>
      <w:r w:rsidR="00EA3822" w:rsidRPr="00541F0C">
        <w:rPr>
          <w:rFonts w:ascii="Palatino Linotype" w:hAnsi="Palatino Linotype"/>
        </w:rPr>
        <w:t xml:space="preserve">hermally rearranged </w:t>
      </w:r>
      <w:r w:rsidR="00541F0C">
        <w:rPr>
          <w:rFonts w:ascii="Palatino Linotype" w:hAnsi="Palatino Linotype"/>
        </w:rPr>
        <w:t xml:space="preserve">(TR) </w:t>
      </w:r>
      <w:r w:rsidR="0066569D" w:rsidRPr="00541F0C">
        <w:rPr>
          <w:rFonts w:ascii="Palatino Linotype" w:hAnsi="Palatino Linotype"/>
        </w:rPr>
        <w:t xml:space="preserve">polymers </w:t>
      </w:r>
      <w:r w:rsidR="00A05645">
        <w:rPr>
          <w:rFonts w:ascii="Palatino Linotype" w:hAnsi="Palatino Linotype"/>
        </w:rPr>
        <w:t xml:space="preserve">have </w:t>
      </w:r>
      <w:r w:rsidR="007273FF" w:rsidRPr="00541F0C">
        <w:rPr>
          <w:rFonts w:ascii="Palatino Linotype" w:hAnsi="Palatino Linotype"/>
        </w:rPr>
        <w:t xml:space="preserve">attracted </w:t>
      </w:r>
      <w:r w:rsidR="00541F0C" w:rsidRPr="00541F0C">
        <w:rPr>
          <w:rFonts w:ascii="Palatino Linotype" w:hAnsi="Palatino Linotype"/>
        </w:rPr>
        <w:t>increasing attention in</w:t>
      </w:r>
      <w:r w:rsidR="007273FF" w:rsidRPr="00541F0C">
        <w:rPr>
          <w:rFonts w:ascii="Palatino Linotype" w:hAnsi="Palatino Linotype"/>
        </w:rPr>
        <w:t xml:space="preserve"> </w:t>
      </w:r>
      <w:r w:rsidR="00541F0C" w:rsidRPr="00541F0C">
        <w:rPr>
          <w:rFonts w:ascii="Palatino Linotype" w:hAnsi="Palatino Linotype"/>
        </w:rPr>
        <w:t>natural gas sweetening</w:t>
      </w:r>
      <w:r w:rsidR="00901535" w:rsidRPr="00541F0C">
        <w:rPr>
          <w:rFonts w:ascii="Palatino Linotype" w:hAnsi="Palatino Linotype"/>
        </w:rPr>
        <w:t xml:space="preserve"> [1]</w:t>
      </w:r>
      <w:r w:rsidR="007273FF" w:rsidRPr="00541F0C">
        <w:rPr>
          <w:rFonts w:ascii="Palatino Linotype" w:hAnsi="Palatino Linotype"/>
        </w:rPr>
        <w:t xml:space="preserve">. These </w:t>
      </w:r>
      <w:r w:rsidR="00541F0C">
        <w:rPr>
          <w:rFonts w:ascii="Palatino Linotype" w:hAnsi="Palatino Linotype"/>
        </w:rPr>
        <w:t>materials</w:t>
      </w:r>
      <w:r w:rsidR="007273FF" w:rsidRPr="00541F0C">
        <w:rPr>
          <w:rFonts w:ascii="Palatino Linotype" w:hAnsi="Palatino Linotype"/>
        </w:rPr>
        <w:t>, first reported by Park et al.</w:t>
      </w:r>
      <w:r w:rsidR="00901535" w:rsidRPr="00541F0C">
        <w:rPr>
          <w:rFonts w:ascii="Palatino Linotype" w:hAnsi="Palatino Linotype"/>
        </w:rPr>
        <w:t xml:space="preserve"> [2]</w:t>
      </w:r>
      <w:r w:rsidR="007273FF" w:rsidRPr="00541F0C">
        <w:rPr>
          <w:rFonts w:ascii="Palatino Linotype" w:hAnsi="Palatino Linotype"/>
        </w:rPr>
        <w:t>,</w:t>
      </w:r>
      <w:r w:rsidR="0058355B" w:rsidRPr="00541F0C">
        <w:rPr>
          <w:rFonts w:ascii="Palatino Linotype" w:hAnsi="Palatino Linotype"/>
        </w:rPr>
        <w:t xml:space="preserve"> </w:t>
      </w:r>
      <w:r w:rsidR="00541F0C" w:rsidRPr="00541F0C">
        <w:rPr>
          <w:rFonts w:ascii="Palatino Linotype" w:hAnsi="Palatino Linotype"/>
        </w:rPr>
        <w:t>offer an unusual combination of high gas permeability and selectivity, which, in some cases surpass the upper bound defined by Robeson in 2008</w:t>
      </w:r>
      <w:r w:rsidR="001B23CD">
        <w:rPr>
          <w:rFonts w:ascii="Palatino Linotype" w:hAnsi="Palatino Linotype"/>
        </w:rPr>
        <w:t xml:space="preserve"> [3]</w:t>
      </w:r>
      <w:r w:rsidR="00541F0C" w:rsidRPr="00541F0C">
        <w:rPr>
          <w:rFonts w:ascii="Palatino Linotype" w:hAnsi="Palatino Linotype"/>
        </w:rPr>
        <w:t>. TR polymers can be prepared</w:t>
      </w:r>
      <w:r w:rsidR="007273FF" w:rsidRPr="00541F0C">
        <w:rPr>
          <w:rFonts w:ascii="Palatino Linotype" w:hAnsi="Palatino Linotype"/>
        </w:rPr>
        <w:t xml:space="preserve"> </w:t>
      </w:r>
      <w:r w:rsidR="00541F0C" w:rsidRPr="00541F0C">
        <w:rPr>
          <w:rFonts w:ascii="Palatino Linotype" w:hAnsi="Palatino Linotype"/>
        </w:rPr>
        <w:t xml:space="preserve">via thermal rearrangement of solvent-soluble polyimides </w:t>
      </w:r>
      <w:r w:rsidR="00901535" w:rsidRPr="00541F0C">
        <w:rPr>
          <w:rFonts w:ascii="Palatino Linotype" w:hAnsi="Palatino Linotype"/>
        </w:rPr>
        <w:t xml:space="preserve">to </w:t>
      </w:r>
      <w:r w:rsidR="008C4721">
        <w:rPr>
          <w:rFonts w:ascii="Palatino Linotype" w:hAnsi="Palatino Linotype"/>
        </w:rPr>
        <w:t xml:space="preserve">form </w:t>
      </w:r>
      <w:r w:rsidR="00901535" w:rsidRPr="00541F0C">
        <w:rPr>
          <w:rFonts w:ascii="Palatino Linotype" w:hAnsi="Palatino Linotype"/>
        </w:rPr>
        <w:t>insoluble poly</w:t>
      </w:r>
      <w:r w:rsidR="00BC7600">
        <w:rPr>
          <w:rFonts w:ascii="Palatino Linotype" w:hAnsi="Palatino Linotype"/>
        </w:rPr>
        <w:t>-</w:t>
      </w:r>
      <w:r w:rsidR="00901535" w:rsidRPr="00541F0C">
        <w:rPr>
          <w:rFonts w:ascii="Palatino Linotype" w:hAnsi="Palatino Linotype"/>
        </w:rPr>
        <w:t xml:space="preserve">benzoxazoles. </w:t>
      </w:r>
    </w:p>
    <w:p w:rsidR="007273FF" w:rsidRPr="001B23CD" w:rsidRDefault="0066569D" w:rsidP="0096366F">
      <w:pPr>
        <w:spacing w:line="360" w:lineRule="auto"/>
        <w:jc w:val="both"/>
        <w:rPr>
          <w:rFonts w:ascii="Palatino Linotype" w:hAnsi="Palatino Linotype"/>
        </w:rPr>
      </w:pPr>
      <w:r w:rsidRPr="001B23CD">
        <w:rPr>
          <w:rFonts w:ascii="Palatino Linotype" w:hAnsi="Palatino Linotype"/>
        </w:rPr>
        <w:t>In</w:t>
      </w:r>
      <w:r w:rsidR="001B23CD" w:rsidRPr="001B23CD">
        <w:rPr>
          <w:rFonts w:ascii="Palatino Linotype" w:hAnsi="Palatino Linotype"/>
        </w:rPr>
        <w:t xml:space="preserve"> this work, </w:t>
      </w:r>
      <w:r w:rsidR="00BB5FF9" w:rsidRPr="001B23CD">
        <w:rPr>
          <w:rFonts w:ascii="Palatino Linotype" w:hAnsi="Palatino Linotype"/>
        </w:rPr>
        <w:t>hydrogen, nitrogen, methane and carbon dioxide</w:t>
      </w:r>
      <w:r w:rsidR="001B23CD" w:rsidRPr="001B23CD">
        <w:rPr>
          <w:rFonts w:ascii="Palatino Linotype" w:hAnsi="Palatino Linotype"/>
        </w:rPr>
        <w:t xml:space="preserve"> </w:t>
      </w:r>
      <w:r w:rsidRPr="001B23CD">
        <w:rPr>
          <w:rFonts w:ascii="Palatino Linotype" w:hAnsi="Palatino Linotype"/>
        </w:rPr>
        <w:t xml:space="preserve">sorption </w:t>
      </w:r>
      <w:r w:rsidR="00BB5FF9">
        <w:rPr>
          <w:rFonts w:ascii="Palatino Linotype" w:hAnsi="Palatino Linotype"/>
        </w:rPr>
        <w:t>isotherms</w:t>
      </w:r>
      <w:r w:rsidRPr="001B23CD">
        <w:rPr>
          <w:rFonts w:ascii="Palatino Linotype" w:hAnsi="Palatino Linotype"/>
        </w:rPr>
        <w:t xml:space="preserve"> </w:t>
      </w:r>
      <w:r w:rsidR="00BB5FF9">
        <w:rPr>
          <w:rFonts w:ascii="Palatino Linotype" w:hAnsi="Palatino Linotype"/>
        </w:rPr>
        <w:t>in</w:t>
      </w:r>
      <w:r w:rsidRPr="001B23CD">
        <w:rPr>
          <w:rFonts w:ascii="Palatino Linotype" w:hAnsi="Palatino Linotype"/>
        </w:rPr>
        <w:t xml:space="preserve"> </w:t>
      </w:r>
      <w:r w:rsidR="001B23CD" w:rsidRPr="001B23CD">
        <w:rPr>
          <w:rFonts w:ascii="Palatino Linotype" w:hAnsi="Palatino Linotype"/>
        </w:rPr>
        <w:t>three TR samples</w:t>
      </w:r>
      <w:r w:rsidR="008C4721">
        <w:rPr>
          <w:rFonts w:ascii="Palatino Linotype" w:hAnsi="Palatino Linotype"/>
        </w:rPr>
        <w:t>,</w:t>
      </w:r>
      <w:r w:rsidR="001B23CD" w:rsidRPr="001B23CD">
        <w:rPr>
          <w:rFonts w:ascii="Palatino Linotype" w:hAnsi="Palatino Linotype"/>
        </w:rPr>
        <w:t xml:space="preserve"> obtained </w:t>
      </w:r>
      <w:r w:rsidR="008C4721">
        <w:rPr>
          <w:rFonts w:ascii="Palatino Linotype" w:hAnsi="Palatino Linotype"/>
        </w:rPr>
        <w:t>via</w:t>
      </w:r>
      <w:r w:rsidR="001B23CD" w:rsidRPr="001B23CD">
        <w:rPr>
          <w:rFonts w:ascii="Palatino Linotype" w:hAnsi="Palatino Linotype"/>
        </w:rPr>
        <w:t xml:space="preserve"> thermal conversion of HAB-6FDA polyimide</w:t>
      </w:r>
      <w:r w:rsidR="008E4A5A">
        <w:rPr>
          <w:rFonts w:ascii="Palatino Linotype" w:hAnsi="Palatino Linotype"/>
        </w:rPr>
        <w:t>,</w:t>
      </w:r>
      <w:r w:rsidRPr="001B23CD">
        <w:rPr>
          <w:rFonts w:ascii="Palatino Linotype" w:hAnsi="Palatino Linotype"/>
        </w:rPr>
        <w:t xml:space="preserve"> </w:t>
      </w:r>
      <w:r w:rsidR="008E4A5A">
        <w:rPr>
          <w:rFonts w:ascii="Palatino Linotype" w:hAnsi="Palatino Linotype"/>
        </w:rPr>
        <w:t>were</w:t>
      </w:r>
      <w:r w:rsidR="001B23CD" w:rsidRPr="001B23CD">
        <w:rPr>
          <w:rFonts w:ascii="Palatino Linotype" w:hAnsi="Palatino Linotype"/>
        </w:rPr>
        <w:t xml:space="preserve"> </w:t>
      </w:r>
      <w:r w:rsidR="008E4A5A">
        <w:rPr>
          <w:rFonts w:ascii="Palatino Linotype" w:hAnsi="Palatino Linotype"/>
        </w:rPr>
        <w:t xml:space="preserve">theoretically </w:t>
      </w:r>
      <w:r w:rsidR="001B23CD" w:rsidRPr="001B23CD">
        <w:rPr>
          <w:rFonts w:ascii="Palatino Linotype" w:hAnsi="Palatino Linotype"/>
        </w:rPr>
        <w:t xml:space="preserve">interpreted </w:t>
      </w:r>
      <w:r w:rsidR="00BC7600">
        <w:rPr>
          <w:rFonts w:ascii="Palatino Linotype" w:hAnsi="Palatino Linotype"/>
        </w:rPr>
        <w:t xml:space="preserve">using </w:t>
      </w:r>
      <w:r w:rsidR="00716185" w:rsidRPr="001B23CD">
        <w:rPr>
          <w:rFonts w:ascii="Palatino Linotype" w:hAnsi="Palatino Linotype"/>
        </w:rPr>
        <w:t xml:space="preserve">the </w:t>
      </w:r>
      <w:r w:rsidRPr="001B23CD">
        <w:rPr>
          <w:rFonts w:ascii="Palatino Linotype" w:hAnsi="Palatino Linotype"/>
        </w:rPr>
        <w:t>Non</w:t>
      </w:r>
      <w:r w:rsidR="00415CEA">
        <w:rPr>
          <w:rFonts w:ascii="Palatino Linotype" w:hAnsi="Palatino Linotype"/>
        </w:rPr>
        <w:t>-E</w:t>
      </w:r>
      <w:r w:rsidRPr="001B23CD">
        <w:rPr>
          <w:rFonts w:ascii="Palatino Linotype" w:hAnsi="Palatino Linotype"/>
        </w:rPr>
        <w:t>quilibrium Lat</w:t>
      </w:r>
      <w:r w:rsidR="008E4A5A">
        <w:rPr>
          <w:rFonts w:ascii="Palatino Linotype" w:hAnsi="Palatino Linotype"/>
        </w:rPr>
        <w:t xml:space="preserve">tice Fluid </w:t>
      </w:r>
      <w:r w:rsidR="008C4721">
        <w:rPr>
          <w:rFonts w:ascii="Palatino Linotype" w:hAnsi="Palatino Linotype"/>
        </w:rPr>
        <w:t xml:space="preserve">(NELF) </w:t>
      </w:r>
      <w:r w:rsidR="00415CEA">
        <w:rPr>
          <w:rFonts w:ascii="Palatino Linotype" w:hAnsi="Palatino Linotype"/>
        </w:rPr>
        <w:t>model</w:t>
      </w:r>
      <w:r w:rsidR="00BC7600">
        <w:rPr>
          <w:rFonts w:ascii="Palatino Linotype" w:hAnsi="Palatino Linotype"/>
        </w:rPr>
        <w:t xml:space="preserve"> [4]</w:t>
      </w:r>
      <w:r w:rsidR="008E4A5A">
        <w:rPr>
          <w:rFonts w:ascii="Palatino Linotype" w:hAnsi="Palatino Linotype"/>
        </w:rPr>
        <w:t xml:space="preserve">. Since </w:t>
      </w:r>
      <w:r w:rsidR="001B23CD" w:rsidRPr="001B23CD">
        <w:rPr>
          <w:rFonts w:ascii="Palatino Linotype" w:hAnsi="Palatino Linotype"/>
        </w:rPr>
        <w:t xml:space="preserve">PVT data in the rubbery region are not accessible for HAB-6FDA and its thermally rearranged analogs, the polymer characteristic lattice fluid parameters, </w:t>
      </w:r>
      <w:r w:rsidR="001B23CD" w:rsidRPr="001B23CD">
        <w:rPr>
          <w:rFonts w:ascii="Palatino Linotype" w:hAnsi="Palatino Linotype"/>
          <w:i/>
        </w:rPr>
        <w:t>T</w:t>
      </w:r>
      <w:r w:rsidR="001B23CD" w:rsidRPr="001B23CD">
        <w:rPr>
          <w:rFonts w:ascii="Palatino Linotype" w:hAnsi="Palatino Linotype"/>
          <w:i/>
          <w:vertAlign w:val="superscript"/>
        </w:rPr>
        <w:t>*</w:t>
      </w:r>
      <w:r w:rsidR="001B23CD" w:rsidRPr="001B23CD">
        <w:rPr>
          <w:rFonts w:ascii="Palatino Linotype" w:hAnsi="Palatino Linotype"/>
        </w:rPr>
        <w:t xml:space="preserve">, </w:t>
      </w:r>
      <w:r w:rsidR="001B23CD" w:rsidRPr="001B23CD">
        <w:rPr>
          <w:rFonts w:ascii="Palatino Linotype" w:hAnsi="Palatino Linotype"/>
          <w:i/>
        </w:rPr>
        <w:t>p</w:t>
      </w:r>
      <w:r w:rsidR="001B23CD" w:rsidRPr="001B23CD">
        <w:rPr>
          <w:rFonts w:ascii="Palatino Linotype" w:hAnsi="Palatino Linotype"/>
          <w:i/>
          <w:vertAlign w:val="superscript"/>
        </w:rPr>
        <w:t>*</w:t>
      </w:r>
      <w:r w:rsidR="001B23CD" w:rsidRPr="001B23CD">
        <w:rPr>
          <w:rFonts w:ascii="Palatino Linotype" w:hAnsi="Palatino Linotype"/>
        </w:rPr>
        <w:t xml:space="preserve"> and </w:t>
      </w:r>
      <w:r w:rsidR="001B23CD" w:rsidRPr="001B23CD">
        <w:rPr>
          <w:rFonts w:ascii="Symbol" w:hAnsi="Symbol"/>
          <w:i/>
        </w:rPr>
        <w:t></w:t>
      </w:r>
      <w:r w:rsidR="001B23CD" w:rsidRPr="001B23CD">
        <w:rPr>
          <w:rFonts w:ascii="Palatino Linotype" w:hAnsi="Palatino Linotype"/>
          <w:i/>
          <w:vertAlign w:val="superscript"/>
        </w:rPr>
        <w:t>*</w:t>
      </w:r>
      <w:r w:rsidR="00BB5FF9">
        <w:rPr>
          <w:rFonts w:ascii="Palatino Linotype" w:hAnsi="Palatino Linotype"/>
        </w:rPr>
        <w:t>,</w:t>
      </w:r>
      <w:r w:rsidR="001B23CD" w:rsidRPr="001B23CD">
        <w:rPr>
          <w:rFonts w:ascii="Palatino Linotype" w:hAnsi="Palatino Linotype"/>
        </w:rPr>
        <w:t xml:space="preserve"> were estimated using a collection of mixture data at multiple temperatures [</w:t>
      </w:r>
      <w:r w:rsidR="00BC7600">
        <w:rPr>
          <w:rFonts w:ascii="Palatino Linotype" w:hAnsi="Palatino Linotype"/>
        </w:rPr>
        <w:t>5</w:t>
      </w:r>
      <w:r w:rsidR="001B23CD" w:rsidRPr="001B23CD">
        <w:rPr>
          <w:rFonts w:ascii="Palatino Linotype" w:hAnsi="Palatino Linotype"/>
        </w:rPr>
        <w:t>]</w:t>
      </w:r>
      <w:r w:rsidRPr="001B23CD">
        <w:rPr>
          <w:rFonts w:ascii="Palatino Linotype" w:hAnsi="Palatino Linotype"/>
        </w:rPr>
        <w:t xml:space="preserve">. </w:t>
      </w:r>
      <w:r w:rsidR="001B23CD" w:rsidRPr="001B23CD">
        <w:rPr>
          <w:rFonts w:ascii="Palatino Linotype" w:hAnsi="Palatino Linotype"/>
        </w:rPr>
        <w:t>T</w:t>
      </w:r>
      <w:r w:rsidR="007273FF" w:rsidRPr="001B23CD">
        <w:rPr>
          <w:rFonts w:ascii="Palatino Linotype" w:hAnsi="Palatino Linotype"/>
        </w:rPr>
        <w:t xml:space="preserve">he model </w:t>
      </w:r>
      <w:r w:rsidR="009018D7">
        <w:rPr>
          <w:rFonts w:ascii="Palatino Linotype" w:hAnsi="Palatino Linotype"/>
        </w:rPr>
        <w:t>outcomes show good agreement with</w:t>
      </w:r>
      <w:r w:rsidR="007273FF" w:rsidRPr="001B23CD">
        <w:rPr>
          <w:rFonts w:ascii="Palatino Linotype" w:hAnsi="Palatino Linotype"/>
        </w:rPr>
        <w:t xml:space="preserve"> the </w:t>
      </w:r>
      <w:r w:rsidR="008E4A5A">
        <w:rPr>
          <w:rFonts w:ascii="Palatino Linotype" w:hAnsi="Palatino Linotype"/>
        </w:rPr>
        <w:t xml:space="preserve">experimental </w:t>
      </w:r>
      <w:r w:rsidR="007273FF" w:rsidRPr="001B23CD">
        <w:rPr>
          <w:rFonts w:ascii="Palatino Linotype" w:hAnsi="Palatino Linotype"/>
        </w:rPr>
        <w:t>sorpt</w:t>
      </w:r>
      <w:r w:rsidR="00BB5FF9">
        <w:rPr>
          <w:rFonts w:ascii="Palatino Linotype" w:hAnsi="Palatino Linotype"/>
        </w:rPr>
        <w:t xml:space="preserve">ion isotherms </w:t>
      </w:r>
      <w:r w:rsidR="009018D7">
        <w:rPr>
          <w:rFonts w:ascii="Palatino Linotype" w:hAnsi="Palatino Linotype"/>
        </w:rPr>
        <w:t>for</w:t>
      </w:r>
      <w:r w:rsidR="007273FF" w:rsidRPr="001B23CD">
        <w:rPr>
          <w:rFonts w:ascii="Palatino Linotype" w:hAnsi="Palatino Linotype"/>
        </w:rPr>
        <w:t xml:space="preserve"> both the pristine polyimide and </w:t>
      </w:r>
      <w:r w:rsidR="00A05645">
        <w:rPr>
          <w:rFonts w:ascii="Palatino Linotype" w:hAnsi="Palatino Linotype"/>
        </w:rPr>
        <w:t xml:space="preserve">the </w:t>
      </w:r>
      <w:r w:rsidR="007273FF" w:rsidRPr="001B23CD">
        <w:rPr>
          <w:rFonts w:ascii="Palatino Linotype" w:hAnsi="Palatino Linotype"/>
        </w:rPr>
        <w:t>corresponding thermally rearranged sample</w:t>
      </w:r>
      <w:r w:rsidR="005673E0" w:rsidRPr="001B23CD">
        <w:rPr>
          <w:rFonts w:ascii="Palatino Linotype" w:hAnsi="Palatino Linotype"/>
        </w:rPr>
        <w:t>s</w:t>
      </w:r>
      <w:r w:rsidR="007273FF" w:rsidRPr="001B23CD">
        <w:rPr>
          <w:rFonts w:ascii="Palatino Linotype" w:hAnsi="Palatino Linotype"/>
        </w:rPr>
        <w:t>.</w:t>
      </w:r>
      <w:r w:rsidR="001B23CD">
        <w:rPr>
          <w:rFonts w:ascii="Palatino Linotype" w:hAnsi="Palatino Linotype"/>
        </w:rPr>
        <w:t xml:space="preserve"> Interestingly, the model confirms by a completely independent perspective that the increase in gas solubility in TR samples is due </w:t>
      </w:r>
      <w:r w:rsidR="008C4721">
        <w:rPr>
          <w:rFonts w:ascii="Palatino Linotype" w:hAnsi="Palatino Linotype"/>
        </w:rPr>
        <w:t>main</w:t>
      </w:r>
      <w:r w:rsidR="001B23CD">
        <w:rPr>
          <w:rFonts w:ascii="Palatino Linotype" w:hAnsi="Palatino Linotype"/>
        </w:rPr>
        <w:t xml:space="preserve">ly to entropic </w:t>
      </w:r>
      <w:r w:rsidR="00A05645">
        <w:rPr>
          <w:rFonts w:ascii="Palatino Linotype" w:hAnsi="Palatino Linotype"/>
        </w:rPr>
        <w:t>factors</w:t>
      </w:r>
      <w:r w:rsidR="008C4721">
        <w:rPr>
          <w:rFonts w:ascii="Palatino Linotype" w:hAnsi="Palatino Linotype"/>
        </w:rPr>
        <w:t xml:space="preserve">, i.e. </w:t>
      </w:r>
      <w:r w:rsidR="001B23CD">
        <w:rPr>
          <w:rFonts w:ascii="Palatino Linotype" w:hAnsi="Palatino Linotype"/>
        </w:rPr>
        <w:t>the increase of excess free volume upon thermal rearran</w:t>
      </w:r>
      <w:r w:rsidR="00BC7600">
        <w:rPr>
          <w:rFonts w:ascii="Palatino Linotype" w:hAnsi="Palatino Linotype"/>
        </w:rPr>
        <w:t>gement</w:t>
      </w:r>
      <w:r w:rsidR="001B23CD">
        <w:rPr>
          <w:rFonts w:ascii="Palatino Linotype" w:hAnsi="Palatino Linotype"/>
        </w:rPr>
        <w:t>. This result is fully consistent</w:t>
      </w:r>
      <w:r w:rsidR="008C4721">
        <w:rPr>
          <w:rFonts w:ascii="Palatino Linotype" w:hAnsi="Palatino Linotype"/>
        </w:rPr>
        <w:t xml:space="preserve"> with the experimental evidence</w:t>
      </w:r>
      <w:bookmarkStart w:id="0" w:name="_GoBack"/>
      <w:bookmarkEnd w:id="0"/>
      <w:r w:rsidR="00084B18">
        <w:rPr>
          <w:rFonts w:ascii="Palatino Linotype" w:hAnsi="Palatino Linotype"/>
        </w:rPr>
        <w:t xml:space="preserve"> [1,2]</w:t>
      </w:r>
      <w:r w:rsidR="001B23CD">
        <w:rPr>
          <w:rFonts w:ascii="Palatino Linotype" w:hAnsi="Palatino Linotype"/>
        </w:rPr>
        <w:t>.</w:t>
      </w:r>
      <w:r w:rsidR="008E4A5A">
        <w:rPr>
          <w:rFonts w:ascii="Palatino Linotype" w:hAnsi="Palatino Linotype"/>
        </w:rPr>
        <w:t xml:space="preserve"> Finally, the model results </w:t>
      </w:r>
      <w:r w:rsidR="00BC7600">
        <w:rPr>
          <w:rFonts w:ascii="Palatino Linotype" w:hAnsi="Palatino Linotype"/>
        </w:rPr>
        <w:t xml:space="preserve">indicate that TR samples have, in the presence of carbon dioxide, </w:t>
      </w:r>
      <w:r w:rsidR="008E4A5A">
        <w:rPr>
          <w:rFonts w:ascii="Palatino Linotype" w:hAnsi="Palatino Linotype"/>
        </w:rPr>
        <w:t>greater dimensional stability relative to HAB-6FDA polyimide</w:t>
      </w:r>
      <w:r w:rsidR="00A05645">
        <w:rPr>
          <w:rFonts w:ascii="Palatino Linotype" w:hAnsi="Palatino Linotype"/>
        </w:rPr>
        <w:t>.</w:t>
      </w:r>
    </w:p>
    <w:p w:rsidR="008F26F3" w:rsidRDefault="008F26F3" w:rsidP="0096366F">
      <w:pPr>
        <w:spacing w:line="360" w:lineRule="auto"/>
        <w:jc w:val="both"/>
        <w:rPr>
          <w:rFonts w:ascii="Palatino Linotype" w:hAnsi="Palatino Linotype"/>
        </w:rPr>
      </w:pPr>
    </w:p>
    <w:p w:rsidR="00901535" w:rsidRDefault="00901535" w:rsidP="0096366F">
      <w:pPr>
        <w:spacing w:line="360" w:lineRule="auto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>[1] D.F. Sanders et al., J. Membr. Sci. 2012 409-410 232-241</w:t>
      </w:r>
    </w:p>
    <w:p w:rsidR="00901535" w:rsidRDefault="00901535" w:rsidP="0096366F">
      <w:pPr>
        <w:spacing w:line="360" w:lineRule="auto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lastRenderedPageBreak/>
        <w:t>[2] H.B. Park</w:t>
      </w:r>
      <w:r w:rsidR="00BC7600">
        <w:rPr>
          <w:rFonts w:ascii="Palatino Linotype" w:hAnsi="Palatino Linotype"/>
        </w:rPr>
        <w:t xml:space="preserve"> et al.</w:t>
      </w:r>
      <w:r>
        <w:rPr>
          <w:rFonts w:ascii="Palatino Linotype" w:hAnsi="Palatino Linotype"/>
        </w:rPr>
        <w:t>, Science 2007 318 254-258</w:t>
      </w:r>
    </w:p>
    <w:p w:rsidR="00901535" w:rsidRDefault="00901535" w:rsidP="0096366F">
      <w:pPr>
        <w:spacing w:line="360" w:lineRule="auto"/>
        <w:jc w:val="both"/>
        <w:rPr>
          <w:rFonts w:ascii="Palatino Linotype" w:hAnsi="Palatino Linotype"/>
          <w:lang w:val="it-IT"/>
        </w:rPr>
      </w:pPr>
      <w:r>
        <w:rPr>
          <w:rFonts w:ascii="Palatino Linotype" w:hAnsi="Palatino Linotype"/>
        </w:rPr>
        <w:t xml:space="preserve">[3] L.M. Robeson, J. Membr. </w:t>
      </w:r>
      <w:r w:rsidRPr="005673E0">
        <w:rPr>
          <w:rFonts w:ascii="Palatino Linotype" w:hAnsi="Palatino Linotype"/>
          <w:lang w:val="it-IT"/>
        </w:rPr>
        <w:t>Sci. 2008 320 390-400</w:t>
      </w:r>
    </w:p>
    <w:p w:rsidR="00BC7600" w:rsidRPr="005673E0" w:rsidRDefault="00BC7600" w:rsidP="0096366F">
      <w:pPr>
        <w:spacing w:line="360" w:lineRule="auto"/>
        <w:jc w:val="both"/>
        <w:rPr>
          <w:rFonts w:ascii="Palatino Linotype" w:hAnsi="Palatino Linotype"/>
          <w:lang w:val="it-IT"/>
        </w:rPr>
      </w:pPr>
      <w:r>
        <w:rPr>
          <w:rFonts w:ascii="Palatino Linotype" w:hAnsi="Palatino Linotype"/>
          <w:lang w:val="it-IT"/>
        </w:rPr>
        <w:t>[4] F. Doghieri et al., Macromolecules 1996 29 7885-7896</w:t>
      </w:r>
    </w:p>
    <w:p w:rsidR="00901535" w:rsidRDefault="00BC7600" w:rsidP="0096366F">
      <w:pPr>
        <w:spacing w:line="360" w:lineRule="auto"/>
        <w:jc w:val="both"/>
        <w:rPr>
          <w:rFonts w:ascii="Palatino Linotype" w:hAnsi="Palatino Linotype"/>
        </w:rPr>
      </w:pPr>
      <w:r>
        <w:rPr>
          <w:rFonts w:ascii="Palatino Linotype" w:hAnsi="Palatino Linotype"/>
          <w:lang w:val="it-IT"/>
        </w:rPr>
        <w:t>[5</w:t>
      </w:r>
      <w:r w:rsidR="00901535" w:rsidRPr="005673E0">
        <w:rPr>
          <w:rFonts w:ascii="Palatino Linotype" w:hAnsi="Palatino Linotype"/>
          <w:lang w:val="it-IT"/>
        </w:rPr>
        <w:t xml:space="preserve">] M. Galizia et al., J. Membr. </w:t>
      </w:r>
      <w:r w:rsidR="00901535">
        <w:rPr>
          <w:rFonts w:ascii="Palatino Linotype" w:hAnsi="Palatino Linotype"/>
        </w:rPr>
        <w:t>Sci. 2012 405-406 201-211</w:t>
      </w:r>
    </w:p>
    <w:p w:rsidR="001241DB" w:rsidRDefault="001241DB"/>
    <w:sectPr w:rsidR="001241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Zach Smith">
    <w15:presenceInfo w15:providerId="Windows Live" w15:userId="752f3ccb1b13a65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EAD"/>
    <w:rsid w:val="0000631F"/>
    <w:rsid w:val="00007C21"/>
    <w:rsid w:val="000100D1"/>
    <w:rsid w:val="00026BD1"/>
    <w:rsid w:val="000276A3"/>
    <w:rsid w:val="00042AC8"/>
    <w:rsid w:val="00043351"/>
    <w:rsid w:val="00045B69"/>
    <w:rsid w:val="00065FD6"/>
    <w:rsid w:val="000673E8"/>
    <w:rsid w:val="000729D5"/>
    <w:rsid w:val="0007779F"/>
    <w:rsid w:val="00084B18"/>
    <w:rsid w:val="00085F62"/>
    <w:rsid w:val="000862BC"/>
    <w:rsid w:val="000A5A0D"/>
    <w:rsid w:val="000B50D4"/>
    <w:rsid w:val="000D2FF0"/>
    <w:rsid w:val="000E10B3"/>
    <w:rsid w:val="000F16F6"/>
    <w:rsid w:val="00107836"/>
    <w:rsid w:val="00113F63"/>
    <w:rsid w:val="00120DCA"/>
    <w:rsid w:val="001235C6"/>
    <w:rsid w:val="00123F80"/>
    <w:rsid w:val="001241DB"/>
    <w:rsid w:val="00133273"/>
    <w:rsid w:val="001418E8"/>
    <w:rsid w:val="0015694D"/>
    <w:rsid w:val="00165D7A"/>
    <w:rsid w:val="0018165C"/>
    <w:rsid w:val="00182D59"/>
    <w:rsid w:val="00190F1A"/>
    <w:rsid w:val="00192A07"/>
    <w:rsid w:val="00193CE9"/>
    <w:rsid w:val="0019550C"/>
    <w:rsid w:val="001B1065"/>
    <w:rsid w:val="001B23CD"/>
    <w:rsid w:val="001B60CE"/>
    <w:rsid w:val="001C2857"/>
    <w:rsid w:val="001C6FE3"/>
    <w:rsid w:val="001E1003"/>
    <w:rsid w:val="001F0ECC"/>
    <w:rsid w:val="00206DD5"/>
    <w:rsid w:val="00207F1A"/>
    <w:rsid w:val="00213375"/>
    <w:rsid w:val="002161C8"/>
    <w:rsid w:val="00226B61"/>
    <w:rsid w:val="00230B6D"/>
    <w:rsid w:val="00231730"/>
    <w:rsid w:val="0023251C"/>
    <w:rsid w:val="00250779"/>
    <w:rsid w:val="0025520A"/>
    <w:rsid w:val="00261B1E"/>
    <w:rsid w:val="002755A7"/>
    <w:rsid w:val="00276030"/>
    <w:rsid w:val="00277644"/>
    <w:rsid w:val="00280659"/>
    <w:rsid w:val="00287631"/>
    <w:rsid w:val="00292458"/>
    <w:rsid w:val="00295272"/>
    <w:rsid w:val="002B0B73"/>
    <w:rsid w:val="002B0B9B"/>
    <w:rsid w:val="002B3E14"/>
    <w:rsid w:val="002B7234"/>
    <w:rsid w:val="002B7F74"/>
    <w:rsid w:val="002D0228"/>
    <w:rsid w:val="002D5DB4"/>
    <w:rsid w:val="002E2865"/>
    <w:rsid w:val="002E5F71"/>
    <w:rsid w:val="002E7A98"/>
    <w:rsid w:val="002F108C"/>
    <w:rsid w:val="002F65FA"/>
    <w:rsid w:val="0030479F"/>
    <w:rsid w:val="00305971"/>
    <w:rsid w:val="00310CBC"/>
    <w:rsid w:val="003139D1"/>
    <w:rsid w:val="00327D81"/>
    <w:rsid w:val="00356AED"/>
    <w:rsid w:val="00366387"/>
    <w:rsid w:val="00367939"/>
    <w:rsid w:val="00374524"/>
    <w:rsid w:val="00377A33"/>
    <w:rsid w:val="00386F0D"/>
    <w:rsid w:val="00392366"/>
    <w:rsid w:val="003B0555"/>
    <w:rsid w:val="003B7A8E"/>
    <w:rsid w:val="003C5DFA"/>
    <w:rsid w:val="003C79E5"/>
    <w:rsid w:val="003E35AD"/>
    <w:rsid w:val="003E7244"/>
    <w:rsid w:val="003F59A4"/>
    <w:rsid w:val="00415CEA"/>
    <w:rsid w:val="00416369"/>
    <w:rsid w:val="0042409E"/>
    <w:rsid w:val="00425419"/>
    <w:rsid w:val="004418FA"/>
    <w:rsid w:val="00445853"/>
    <w:rsid w:val="004505C7"/>
    <w:rsid w:val="00451C60"/>
    <w:rsid w:val="00451F4D"/>
    <w:rsid w:val="004548D2"/>
    <w:rsid w:val="0045726A"/>
    <w:rsid w:val="00465D46"/>
    <w:rsid w:val="004706DD"/>
    <w:rsid w:val="00473AF0"/>
    <w:rsid w:val="00483B4B"/>
    <w:rsid w:val="00487B37"/>
    <w:rsid w:val="00493ED9"/>
    <w:rsid w:val="00495DE7"/>
    <w:rsid w:val="004B2D98"/>
    <w:rsid w:val="004E2161"/>
    <w:rsid w:val="004E570B"/>
    <w:rsid w:val="004E704F"/>
    <w:rsid w:val="00500549"/>
    <w:rsid w:val="005048CA"/>
    <w:rsid w:val="00505B84"/>
    <w:rsid w:val="00507DFB"/>
    <w:rsid w:val="00516555"/>
    <w:rsid w:val="00521B6A"/>
    <w:rsid w:val="005236C5"/>
    <w:rsid w:val="00524975"/>
    <w:rsid w:val="0053018F"/>
    <w:rsid w:val="00541F0C"/>
    <w:rsid w:val="005626BA"/>
    <w:rsid w:val="005673E0"/>
    <w:rsid w:val="00571577"/>
    <w:rsid w:val="00575F24"/>
    <w:rsid w:val="005834A6"/>
    <w:rsid w:val="0058355B"/>
    <w:rsid w:val="005B48F2"/>
    <w:rsid w:val="005B6918"/>
    <w:rsid w:val="005C229F"/>
    <w:rsid w:val="005C5C84"/>
    <w:rsid w:val="005D672D"/>
    <w:rsid w:val="005E016A"/>
    <w:rsid w:val="005F3105"/>
    <w:rsid w:val="005F5A4D"/>
    <w:rsid w:val="0060239D"/>
    <w:rsid w:val="00605104"/>
    <w:rsid w:val="006057E0"/>
    <w:rsid w:val="00605FD5"/>
    <w:rsid w:val="0061021E"/>
    <w:rsid w:val="00620392"/>
    <w:rsid w:val="00621488"/>
    <w:rsid w:val="00625CF2"/>
    <w:rsid w:val="0063507E"/>
    <w:rsid w:val="006363DB"/>
    <w:rsid w:val="00637C5A"/>
    <w:rsid w:val="00643BE2"/>
    <w:rsid w:val="006555FF"/>
    <w:rsid w:val="006563B3"/>
    <w:rsid w:val="00663324"/>
    <w:rsid w:val="0066569D"/>
    <w:rsid w:val="00670286"/>
    <w:rsid w:val="00672B0C"/>
    <w:rsid w:val="006755A6"/>
    <w:rsid w:val="0067751C"/>
    <w:rsid w:val="00684D07"/>
    <w:rsid w:val="00686EAD"/>
    <w:rsid w:val="0069663E"/>
    <w:rsid w:val="006A5CCD"/>
    <w:rsid w:val="006B04D9"/>
    <w:rsid w:val="006D024D"/>
    <w:rsid w:val="006E04DB"/>
    <w:rsid w:val="006E05F7"/>
    <w:rsid w:val="006E3859"/>
    <w:rsid w:val="006F5BC7"/>
    <w:rsid w:val="00703B21"/>
    <w:rsid w:val="007058EB"/>
    <w:rsid w:val="00710AC0"/>
    <w:rsid w:val="0071340D"/>
    <w:rsid w:val="00716185"/>
    <w:rsid w:val="007273FF"/>
    <w:rsid w:val="00727BBB"/>
    <w:rsid w:val="00741215"/>
    <w:rsid w:val="007477D9"/>
    <w:rsid w:val="00751CFF"/>
    <w:rsid w:val="0075343A"/>
    <w:rsid w:val="00764544"/>
    <w:rsid w:val="007657FD"/>
    <w:rsid w:val="00770BC7"/>
    <w:rsid w:val="0077115F"/>
    <w:rsid w:val="007754C2"/>
    <w:rsid w:val="00775B21"/>
    <w:rsid w:val="007941DE"/>
    <w:rsid w:val="00797284"/>
    <w:rsid w:val="007A04FB"/>
    <w:rsid w:val="007A37E5"/>
    <w:rsid w:val="007B3E32"/>
    <w:rsid w:val="007D3FCD"/>
    <w:rsid w:val="007E16A8"/>
    <w:rsid w:val="007F0168"/>
    <w:rsid w:val="007F0172"/>
    <w:rsid w:val="007F1DCF"/>
    <w:rsid w:val="008009AE"/>
    <w:rsid w:val="008040AB"/>
    <w:rsid w:val="0080746C"/>
    <w:rsid w:val="00812888"/>
    <w:rsid w:val="00820674"/>
    <w:rsid w:val="00822CA9"/>
    <w:rsid w:val="008374F5"/>
    <w:rsid w:val="00850BD1"/>
    <w:rsid w:val="00860F1E"/>
    <w:rsid w:val="00860FCB"/>
    <w:rsid w:val="00870F96"/>
    <w:rsid w:val="008775FB"/>
    <w:rsid w:val="00877AC2"/>
    <w:rsid w:val="008934C1"/>
    <w:rsid w:val="008954E1"/>
    <w:rsid w:val="00897338"/>
    <w:rsid w:val="008B3DCE"/>
    <w:rsid w:val="008B5060"/>
    <w:rsid w:val="008C0380"/>
    <w:rsid w:val="008C2481"/>
    <w:rsid w:val="008C4721"/>
    <w:rsid w:val="008D7E8C"/>
    <w:rsid w:val="008E1BE5"/>
    <w:rsid w:val="008E4A5A"/>
    <w:rsid w:val="008E6476"/>
    <w:rsid w:val="008F26F3"/>
    <w:rsid w:val="008F6043"/>
    <w:rsid w:val="0090098D"/>
    <w:rsid w:val="00901035"/>
    <w:rsid w:val="00901535"/>
    <w:rsid w:val="009018D7"/>
    <w:rsid w:val="0090499A"/>
    <w:rsid w:val="00906973"/>
    <w:rsid w:val="009072CA"/>
    <w:rsid w:val="009265CD"/>
    <w:rsid w:val="00926A68"/>
    <w:rsid w:val="0093014B"/>
    <w:rsid w:val="0093483E"/>
    <w:rsid w:val="00937C1F"/>
    <w:rsid w:val="00942231"/>
    <w:rsid w:val="00945423"/>
    <w:rsid w:val="0096366F"/>
    <w:rsid w:val="00963D22"/>
    <w:rsid w:val="0097087D"/>
    <w:rsid w:val="009743DB"/>
    <w:rsid w:val="009765D7"/>
    <w:rsid w:val="00996CA8"/>
    <w:rsid w:val="009B6B1E"/>
    <w:rsid w:val="009C0EBB"/>
    <w:rsid w:val="009C2FB3"/>
    <w:rsid w:val="009D133C"/>
    <w:rsid w:val="009D4FF4"/>
    <w:rsid w:val="009D75A2"/>
    <w:rsid w:val="009E4DF2"/>
    <w:rsid w:val="009E6D8C"/>
    <w:rsid w:val="009F0FA6"/>
    <w:rsid w:val="009F69D0"/>
    <w:rsid w:val="00A004C0"/>
    <w:rsid w:val="00A00DE6"/>
    <w:rsid w:val="00A010CF"/>
    <w:rsid w:val="00A05645"/>
    <w:rsid w:val="00A1186C"/>
    <w:rsid w:val="00A15266"/>
    <w:rsid w:val="00A20F5D"/>
    <w:rsid w:val="00A34881"/>
    <w:rsid w:val="00A45424"/>
    <w:rsid w:val="00A55166"/>
    <w:rsid w:val="00A56163"/>
    <w:rsid w:val="00A60269"/>
    <w:rsid w:val="00A62B50"/>
    <w:rsid w:val="00A71783"/>
    <w:rsid w:val="00A71C88"/>
    <w:rsid w:val="00A74AC7"/>
    <w:rsid w:val="00A74BEF"/>
    <w:rsid w:val="00A84B3E"/>
    <w:rsid w:val="00A862BE"/>
    <w:rsid w:val="00A90F30"/>
    <w:rsid w:val="00A91547"/>
    <w:rsid w:val="00A91CC6"/>
    <w:rsid w:val="00A9432E"/>
    <w:rsid w:val="00A97F98"/>
    <w:rsid w:val="00AB53F7"/>
    <w:rsid w:val="00AC320C"/>
    <w:rsid w:val="00AC4A66"/>
    <w:rsid w:val="00AC6B92"/>
    <w:rsid w:val="00AD74E0"/>
    <w:rsid w:val="00AE15B1"/>
    <w:rsid w:val="00AF68B3"/>
    <w:rsid w:val="00B00A91"/>
    <w:rsid w:val="00B014FE"/>
    <w:rsid w:val="00B0168F"/>
    <w:rsid w:val="00B129FF"/>
    <w:rsid w:val="00B31D40"/>
    <w:rsid w:val="00B3789F"/>
    <w:rsid w:val="00B4394E"/>
    <w:rsid w:val="00B45B2E"/>
    <w:rsid w:val="00B5032E"/>
    <w:rsid w:val="00B649E0"/>
    <w:rsid w:val="00B74B22"/>
    <w:rsid w:val="00B805E2"/>
    <w:rsid w:val="00B83DAC"/>
    <w:rsid w:val="00B93D82"/>
    <w:rsid w:val="00B9766F"/>
    <w:rsid w:val="00BA26FB"/>
    <w:rsid w:val="00BA517B"/>
    <w:rsid w:val="00BA5FDE"/>
    <w:rsid w:val="00BA6E9D"/>
    <w:rsid w:val="00BB199E"/>
    <w:rsid w:val="00BB5FF9"/>
    <w:rsid w:val="00BC7600"/>
    <w:rsid w:val="00BE179E"/>
    <w:rsid w:val="00BF05A5"/>
    <w:rsid w:val="00BF56D5"/>
    <w:rsid w:val="00C038EB"/>
    <w:rsid w:val="00C1454C"/>
    <w:rsid w:val="00C1780B"/>
    <w:rsid w:val="00C50019"/>
    <w:rsid w:val="00C546E3"/>
    <w:rsid w:val="00C62505"/>
    <w:rsid w:val="00C671D1"/>
    <w:rsid w:val="00C70017"/>
    <w:rsid w:val="00C70574"/>
    <w:rsid w:val="00C84207"/>
    <w:rsid w:val="00C91424"/>
    <w:rsid w:val="00CB2D25"/>
    <w:rsid w:val="00CB5FDC"/>
    <w:rsid w:val="00CC61BF"/>
    <w:rsid w:val="00CC7051"/>
    <w:rsid w:val="00CC75D6"/>
    <w:rsid w:val="00CD233F"/>
    <w:rsid w:val="00CE344A"/>
    <w:rsid w:val="00CE42E4"/>
    <w:rsid w:val="00CE4326"/>
    <w:rsid w:val="00CE4429"/>
    <w:rsid w:val="00CE5A60"/>
    <w:rsid w:val="00CF11EB"/>
    <w:rsid w:val="00CF401C"/>
    <w:rsid w:val="00CF632D"/>
    <w:rsid w:val="00D040FC"/>
    <w:rsid w:val="00D06729"/>
    <w:rsid w:val="00D14E2A"/>
    <w:rsid w:val="00D1657D"/>
    <w:rsid w:val="00D217BF"/>
    <w:rsid w:val="00D24468"/>
    <w:rsid w:val="00D250CB"/>
    <w:rsid w:val="00D2611A"/>
    <w:rsid w:val="00D373C7"/>
    <w:rsid w:val="00D5286E"/>
    <w:rsid w:val="00D60931"/>
    <w:rsid w:val="00D62946"/>
    <w:rsid w:val="00D66152"/>
    <w:rsid w:val="00D66EC1"/>
    <w:rsid w:val="00D74EC6"/>
    <w:rsid w:val="00D83392"/>
    <w:rsid w:val="00D910DC"/>
    <w:rsid w:val="00D92A97"/>
    <w:rsid w:val="00D92E93"/>
    <w:rsid w:val="00D93F61"/>
    <w:rsid w:val="00DA27DF"/>
    <w:rsid w:val="00DA6BFD"/>
    <w:rsid w:val="00DB2832"/>
    <w:rsid w:val="00DC340D"/>
    <w:rsid w:val="00DD2646"/>
    <w:rsid w:val="00DE1C0F"/>
    <w:rsid w:val="00DE2107"/>
    <w:rsid w:val="00DF092C"/>
    <w:rsid w:val="00E03D2B"/>
    <w:rsid w:val="00E05BAE"/>
    <w:rsid w:val="00E12FD4"/>
    <w:rsid w:val="00E13EAA"/>
    <w:rsid w:val="00E259CD"/>
    <w:rsid w:val="00E41269"/>
    <w:rsid w:val="00E41E03"/>
    <w:rsid w:val="00E42D17"/>
    <w:rsid w:val="00E45C41"/>
    <w:rsid w:val="00E61B50"/>
    <w:rsid w:val="00E63126"/>
    <w:rsid w:val="00E65825"/>
    <w:rsid w:val="00E67C6D"/>
    <w:rsid w:val="00E752E7"/>
    <w:rsid w:val="00E83CD8"/>
    <w:rsid w:val="00E85E18"/>
    <w:rsid w:val="00EA002B"/>
    <w:rsid w:val="00EA3822"/>
    <w:rsid w:val="00EB127F"/>
    <w:rsid w:val="00EB46B3"/>
    <w:rsid w:val="00EB5843"/>
    <w:rsid w:val="00EB6562"/>
    <w:rsid w:val="00EC0015"/>
    <w:rsid w:val="00EC7A4A"/>
    <w:rsid w:val="00EE4C9E"/>
    <w:rsid w:val="00EF0770"/>
    <w:rsid w:val="00EF315E"/>
    <w:rsid w:val="00F01480"/>
    <w:rsid w:val="00F07D4E"/>
    <w:rsid w:val="00F2226D"/>
    <w:rsid w:val="00F2365F"/>
    <w:rsid w:val="00F43E00"/>
    <w:rsid w:val="00F461C7"/>
    <w:rsid w:val="00F50029"/>
    <w:rsid w:val="00F521A8"/>
    <w:rsid w:val="00F55659"/>
    <w:rsid w:val="00F648BB"/>
    <w:rsid w:val="00F725BE"/>
    <w:rsid w:val="00F73517"/>
    <w:rsid w:val="00F77C2E"/>
    <w:rsid w:val="00F82879"/>
    <w:rsid w:val="00F82F4E"/>
    <w:rsid w:val="00F83097"/>
    <w:rsid w:val="00F8309F"/>
    <w:rsid w:val="00F8540D"/>
    <w:rsid w:val="00F90224"/>
    <w:rsid w:val="00F91064"/>
    <w:rsid w:val="00FB1A15"/>
    <w:rsid w:val="00FC0CD0"/>
    <w:rsid w:val="00FC6CBA"/>
    <w:rsid w:val="00FD1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34C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8009A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009A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009A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09A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009A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09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09A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34C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8009A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009A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009A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09A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009A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09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09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329</Words>
  <Characters>1877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Michele</dc:creator>
  <cp:lastModifiedBy>Michele</cp:lastModifiedBy>
  <cp:revision>25</cp:revision>
  <dcterms:created xsi:type="dcterms:W3CDTF">2015-05-10T20:15:00Z</dcterms:created>
  <dcterms:modified xsi:type="dcterms:W3CDTF">2016-02-19T13:58:00Z</dcterms:modified>
</cp:coreProperties>
</file>