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E2D18" w14:textId="77777777" w:rsidR="003740A2" w:rsidRPr="00634D5F" w:rsidRDefault="00634D5F" w:rsidP="003740A2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34D5F">
        <w:rPr>
          <w:rFonts w:asciiTheme="majorBidi" w:hAnsiTheme="majorBidi" w:cstheme="majorBidi"/>
          <w:b/>
          <w:bCs/>
          <w:sz w:val="24"/>
          <w:szCs w:val="24"/>
        </w:rPr>
        <w:t xml:space="preserve">Dual </w:t>
      </w:r>
      <w:r w:rsidR="003740A2" w:rsidRPr="00634D5F">
        <w:rPr>
          <w:rFonts w:asciiTheme="majorBidi" w:hAnsiTheme="majorBidi" w:cstheme="majorBidi"/>
          <w:b/>
          <w:bCs/>
          <w:sz w:val="24"/>
          <w:szCs w:val="24"/>
        </w:rPr>
        <w:t>CO</w:t>
      </w:r>
      <w:r w:rsidR="003740A2" w:rsidRPr="00634D5F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2</w:t>
      </w:r>
      <w:r w:rsidRPr="00634D5F">
        <w:rPr>
          <w:rFonts w:asciiTheme="majorBidi" w:hAnsiTheme="majorBidi" w:cstheme="majorBidi"/>
          <w:b/>
          <w:bCs/>
          <w:sz w:val="24"/>
          <w:szCs w:val="24"/>
        </w:rPr>
        <w:t>-</w:t>
      </w:r>
      <w:r w:rsidR="003740A2" w:rsidRPr="00634D5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EB010A" w:rsidRPr="00634D5F">
        <w:rPr>
          <w:rFonts w:ascii="Times New Roman" w:hAnsi="Times New Roman"/>
          <w:b/>
          <w:bCs/>
          <w:sz w:val="24"/>
          <w:szCs w:val="24"/>
        </w:rPr>
        <w:t>and N</w:t>
      </w:r>
      <w:r w:rsidR="00EB010A" w:rsidRPr="00634D5F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  <w:r w:rsidR="00EB010A" w:rsidRPr="00634D5F">
        <w:rPr>
          <w:rFonts w:ascii="Times New Roman" w:hAnsi="Times New Roman"/>
          <w:b/>
          <w:bCs/>
          <w:sz w:val="24"/>
          <w:szCs w:val="24"/>
        </w:rPr>
        <w:t xml:space="preserve">- selective </w:t>
      </w:r>
      <w:r w:rsidR="003740A2" w:rsidRPr="00634D5F">
        <w:rPr>
          <w:rFonts w:asciiTheme="majorBidi" w:hAnsiTheme="majorBidi" w:cstheme="majorBidi"/>
          <w:b/>
          <w:bCs/>
          <w:sz w:val="24"/>
          <w:szCs w:val="24"/>
        </w:rPr>
        <w:t>intrinsically microporous hydroxyl-functionalized triptycene-based polyimide for natural gas upgrading</w:t>
      </w:r>
    </w:p>
    <w:p w14:paraId="34A4C74A" w14:textId="77777777" w:rsidR="000C3984" w:rsidRPr="000C3984" w:rsidRDefault="000C3984" w:rsidP="000C3984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521CC">
        <w:rPr>
          <w:rFonts w:ascii="Times New Roman" w:hAnsi="Times New Roman"/>
          <w:color w:val="000000"/>
          <w:sz w:val="24"/>
          <w:szCs w:val="24"/>
          <w:lang w:val="en-CA"/>
        </w:rPr>
        <w:t>Fahd Alghunaimi</w:t>
      </w:r>
      <w:r>
        <w:rPr>
          <w:rFonts w:ascii="Times New Roman" w:hAnsi="Times New Roman"/>
          <w:sz w:val="24"/>
          <w:szCs w:val="24"/>
        </w:rPr>
        <w:t>, Bader Ghanem,</w:t>
      </w:r>
      <w:r w:rsidRPr="005521C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521CC">
        <w:rPr>
          <w:rFonts w:ascii="Times New Roman" w:hAnsi="Times New Roman"/>
          <w:sz w:val="24"/>
          <w:szCs w:val="24"/>
        </w:rPr>
        <w:t>Nasser Alaslai</w:t>
      </w:r>
      <w:r>
        <w:rPr>
          <w:rFonts w:ascii="Times New Roman" w:hAnsi="Times New Roman"/>
          <w:sz w:val="24"/>
          <w:szCs w:val="24"/>
        </w:rPr>
        <w:t>, Mohsin Mukaddam, Ingo Pinnau*</w:t>
      </w:r>
    </w:p>
    <w:p w14:paraId="307E25FE" w14:textId="77777777" w:rsidR="000C3984" w:rsidRPr="005521CC" w:rsidRDefault="000C3984" w:rsidP="000C398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521CC">
        <w:rPr>
          <w:rFonts w:ascii="Times New Roman" w:hAnsi="Times New Roman"/>
          <w:i/>
          <w:sz w:val="24"/>
          <w:szCs w:val="24"/>
        </w:rPr>
        <w:t xml:space="preserve">King Abdullah University of Science and Technology </w:t>
      </w:r>
      <w:r>
        <w:rPr>
          <w:rFonts w:ascii="Times New Roman" w:hAnsi="Times New Roman"/>
          <w:i/>
          <w:sz w:val="24"/>
          <w:szCs w:val="24"/>
        </w:rPr>
        <w:t xml:space="preserve">(KAUST), </w:t>
      </w:r>
      <w:r w:rsidRPr="005521CC">
        <w:rPr>
          <w:rFonts w:ascii="Times New Roman" w:hAnsi="Times New Roman"/>
          <w:i/>
          <w:sz w:val="24"/>
          <w:szCs w:val="24"/>
        </w:rPr>
        <w:t>Advanced Membranes and Porous Materials Center</w:t>
      </w:r>
      <w:r>
        <w:rPr>
          <w:rFonts w:ascii="Times New Roman" w:hAnsi="Times New Roman"/>
          <w:i/>
          <w:sz w:val="24"/>
          <w:szCs w:val="24"/>
        </w:rPr>
        <w:t xml:space="preserve"> (AMPMC)</w:t>
      </w:r>
      <w:r w:rsidRPr="005521CC">
        <w:rPr>
          <w:rFonts w:ascii="Times New Roman" w:hAnsi="Times New Roman"/>
          <w:i/>
          <w:sz w:val="24"/>
          <w:szCs w:val="24"/>
        </w:rPr>
        <w:t>, Division of Physical Sciences and Engineering, Chemical and Biological Engineering Program, Thuwal 23955-6900, Saudi Arabia</w:t>
      </w:r>
    </w:p>
    <w:p w14:paraId="72845F61" w14:textId="77777777" w:rsidR="000C3984" w:rsidRPr="003740A2" w:rsidRDefault="000C3984" w:rsidP="000C3984">
      <w:pPr>
        <w:spacing w:line="360" w:lineRule="auto"/>
        <w:jc w:val="center"/>
        <w:rPr>
          <w:rFonts w:asciiTheme="majorBidi" w:hAnsiTheme="majorBidi" w:cstheme="majorBidi"/>
          <w:bCs/>
          <w:kern w:val="3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5521CC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go.pinnau@kaust.edu.sa</w:t>
      </w:r>
    </w:p>
    <w:p w14:paraId="2AD96699" w14:textId="71FBDC2C" w:rsidR="00990355" w:rsidRPr="001E04EF" w:rsidRDefault="00AA3F64" w:rsidP="001E04E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740A2">
        <w:rPr>
          <w:rFonts w:asciiTheme="majorBidi" w:hAnsiTheme="majorBidi" w:cstheme="majorBidi"/>
          <w:sz w:val="24"/>
          <w:szCs w:val="24"/>
        </w:rPr>
        <w:t xml:space="preserve">The synthesis and gas permeation properties of </w:t>
      </w:r>
      <w:r w:rsidR="00074119" w:rsidRPr="003740A2">
        <w:rPr>
          <w:rFonts w:asciiTheme="majorBidi" w:hAnsiTheme="majorBidi" w:cstheme="majorBidi"/>
          <w:sz w:val="24"/>
          <w:szCs w:val="24"/>
        </w:rPr>
        <w:t>two</w:t>
      </w:r>
      <w:r w:rsidRPr="003740A2">
        <w:rPr>
          <w:rFonts w:asciiTheme="majorBidi" w:hAnsiTheme="majorBidi" w:cstheme="majorBidi"/>
          <w:sz w:val="24"/>
          <w:szCs w:val="24"/>
        </w:rPr>
        <w:t xml:space="preserve"> novel PIM-polyimide</w:t>
      </w:r>
      <w:r w:rsidR="00074119" w:rsidRPr="003740A2">
        <w:rPr>
          <w:rFonts w:asciiTheme="majorBidi" w:hAnsiTheme="majorBidi" w:cstheme="majorBidi"/>
          <w:sz w:val="24"/>
          <w:szCs w:val="24"/>
        </w:rPr>
        <w:t>s (</w:t>
      </w:r>
      <w:r w:rsidR="00074119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TDA1-DMN) </w:t>
      </w:r>
      <w:r w:rsidR="00074119" w:rsidRPr="003740A2">
        <w:rPr>
          <w:rFonts w:asciiTheme="majorBidi" w:hAnsiTheme="majorBidi" w:cstheme="majorBidi"/>
          <w:sz w:val="24"/>
          <w:szCs w:val="24"/>
        </w:rPr>
        <w:t xml:space="preserve">and </w:t>
      </w:r>
      <w:r w:rsidRPr="003740A2">
        <w:rPr>
          <w:rFonts w:asciiTheme="majorBidi" w:hAnsiTheme="majorBidi" w:cstheme="majorBidi"/>
          <w:sz w:val="24"/>
          <w:szCs w:val="24"/>
        </w:rPr>
        <w:t>(</w:t>
      </w:r>
      <w:r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TDA1-APAF) </w:t>
      </w:r>
      <w:r w:rsidRPr="003740A2">
        <w:rPr>
          <w:rFonts w:asciiTheme="majorBidi" w:hAnsiTheme="majorBidi" w:cstheme="majorBidi"/>
          <w:sz w:val="24"/>
          <w:szCs w:val="24"/>
        </w:rPr>
        <w:t xml:space="preserve">prepared from </w:t>
      </w:r>
      <w:r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9,10-dimethyl-2,3,6,7-triptycene tetracarboxylic dianhydride (TDA1) </w:t>
      </w:r>
      <w:r w:rsidR="00856A19">
        <w:rPr>
          <w:rFonts w:asciiTheme="majorBidi" w:hAnsiTheme="majorBidi" w:cstheme="majorBidi"/>
          <w:sz w:val="24"/>
          <w:szCs w:val="24"/>
        </w:rPr>
        <w:t>with</w:t>
      </w:r>
      <w:r w:rsidRPr="003740A2">
        <w:rPr>
          <w:rFonts w:asciiTheme="majorBidi" w:hAnsiTheme="majorBidi" w:cstheme="majorBidi"/>
          <w:sz w:val="24"/>
          <w:szCs w:val="24"/>
        </w:rPr>
        <w:t xml:space="preserve"> commercially available </w:t>
      </w:r>
      <w:r w:rsidR="00074119" w:rsidRPr="003740A2">
        <w:rPr>
          <w:rFonts w:asciiTheme="majorBidi" w:hAnsiTheme="majorBidi" w:cstheme="majorBidi"/>
          <w:sz w:val="24"/>
          <w:szCs w:val="24"/>
        </w:rPr>
        <w:t xml:space="preserve">3,3ʹ-dimethylnaphthidine (DMN) and </w:t>
      </w:r>
      <w:r w:rsidRPr="003740A2">
        <w:rPr>
          <w:rFonts w:asciiTheme="majorBidi" w:hAnsiTheme="majorBidi" w:cstheme="majorBidi"/>
          <w:sz w:val="24"/>
          <w:szCs w:val="24"/>
        </w:rPr>
        <w:t>2,2-bis(3-amino-4-hydroxyphenyl)-hexafluoropropane (APAF) diamine monomer</w:t>
      </w:r>
      <w:r w:rsidR="003740A2" w:rsidRPr="003740A2">
        <w:rPr>
          <w:rFonts w:asciiTheme="majorBidi" w:hAnsiTheme="majorBidi" w:cstheme="majorBidi"/>
          <w:sz w:val="24"/>
          <w:szCs w:val="24"/>
        </w:rPr>
        <w:t>s</w:t>
      </w:r>
      <w:r w:rsidR="00634D5F">
        <w:rPr>
          <w:rFonts w:asciiTheme="majorBidi" w:hAnsiTheme="majorBidi" w:cstheme="majorBidi"/>
          <w:sz w:val="24"/>
          <w:szCs w:val="24"/>
        </w:rPr>
        <w:t>,</w:t>
      </w:r>
      <w:r w:rsidR="00856A19">
        <w:rPr>
          <w:rFonts w:asciiTheme="majorBidi" w:hAnsiTheme="majorBidi" w:cstheme="majorBidi"/>
          <w:sz w:val="24"/>
          <w:szCs w:val="24"/>
        </w:rPr>
        <w:t xml:space="preserve"> respectively</w:t>
      </w:r>
      <w:r w:rsidR="00A37DD3">
        <w:rPr>
          <w:rFonts w:asciiTheme="majorBidi" w:hAnsiTheme="majorBidi" w:cstheme="majorBidi"/>
          <w:sz w:val="24"/>
          <w:szCs w:val="24"/>
        </w:rPr>
        <w:t>,</w:t>
      </w:r>
      <w:r w:rsidRPr="003740A2">
        <w:rPr>
          <w:rFonts w:asciiTheme="majorBidi" w:hAnsiTheme="majorBidi" w:cstheme="majorBidi"/>
          <w:sz w:val="24"/>
          <w:szCs w:val="24"/>
        </w:rPr>
        <w:t xml:space="preserve"> are reported.</w:t>
      </w:r>
      <w:r w:rsidRPr="003740A2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CA"/>
        </w:rPr>
        <w:t xml:space="preserve"> 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The triptycene building block with bridgehead methyl side groups offers TDA1-DMN with high BET surface area </w:t>
      </w:r>
      <w:r w:rsidR="00634D5F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of </w:t>
      </w:r>
      <w:r w:rsidR="00634D5F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760 m</w:t>
      </w:r>
      <w:r w:rsidR="00634D5F" w:rsidRPr="003740A2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CA"/>
        </w:rPr>
        <w:t>2</w:t>
      </w:r>
      <w:r w:rsidR="00634D5F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g</w:t>
      </w:r>
      <w:r w:rsidR="00634D5F" w:rsidRPr="003740A2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CA"/>
        </w:rPr>
        <w:t>-1</w:t>
      </w:r>
      <w:r w:rsidR="00634D5F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and very high gas permeabilities (</w:t>
      </w:r>
      <w:r w:rsidR="00634D5F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e.g. 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CO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vertAlign w:val="subscript"/>
          <w:lang w:val="en-CA"/>
        </w:rPr>
        <w:t>2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= 3700 Barrer) but with only moderate selectivit</w:t>
      </w:r>
      <w:r w:rsidR="00634D5F">
        <w:rPr>
          <w:rFonts w:asciiTheme="majorBidi" w:hAnsiTheme="majorBidi" w:cstheme="majorBidi"/>
          <w:color w:val="000000"/>
          <w:sz w:val="24"/>
          <w:szCs w:val="24"/>
          <w:lang w:val="en-CA"/>
        </w:rPr>
        <w:t>y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(</w:t>
      </w:r>
      <w:r w:rsidR="00634D5F" w:rsidRPr="00634D5F">
        <w:rPr>
          <w:rFonts w:ascii="Symbol" w:hAnsi="Symbol" w:cstheme="majorBidi"/>
          <w:color w:val="000000"/>
          <w:sz w:val="24"/>
          <w:szCs w:val="24"/>
          <w:lang w:val="en-CA"/>
        </w:rPr>
        <w:t>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CO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vertAlign w:val="subscript"/>
          <w:lang w:val="en-CA"/>
        </w:rPr>
        <w:t>2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>/CH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vertAlign w:val="subscript"/>
          <w:lang w:val="en-CA"/>
        </w:rPr>
        <w:t>4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= 17). </w:t>
      </w:r>
      <w:r w:rsidR="00634D5F">
        <w:rPr>
          <w:rFonts w:asciiTheme="majorBidi" w:hAnsiTheme="majorBidi" w:cstheme="majorBidi"/>
          <w:color w:val="000000"/>
          <w:sz w:val="24"/>
          <w:szCs w:val="24"/>
          <w:lang w:val="en-CA"/>
        </w:rPr>
        <w:t>The</w:t>
      </w:r>
      <w:r w:rsidR="003740A2" w:rsidRPr="003740A2">
        <w:rPr>
          <w:rFonts w:asciiTheme="majorBidi" w:hAnsiTheme="majorBidi" w:cstheme="majorBidi"/>
          <w:sz w:val="24"/>
          <w:szCs w:val="24"/>
        </w:rPr>
        <w:t xml:space="preserve"> </w:t>
      </w:r>
      <w:r w:rsidR="003740A2" w:rsidRPr="003740A2">
        <w:rPr>
          <w:rFonts w:asciiTheme="majorBidi" w:hAnsiTheme="majorBidi" w:cstheme="majorBidi"/>
          <w:i/>
          <w:iCs/>
          <w:sz w:val="24"/>
          <w:szCs w:val="24"/>
        </w:rPr>
        <w:t>ortho</w:t>
      </w:r>
      <w:r w:rsidR="003740A2" w:rsidRPr="003740A2">
        <w:rPr>
          <w:rFonts w:asciiTheme="majorBidi" w:hAnsiTheme="majorBidi" w:cstheme="majorBidi"/>
          <w:sz w:val="24"/>
          <w:szCs w:val="24"/>
        </w:rPr>
        <w:t xml:space="preserve">-hydroxyl-functionalized polyimide </w:t>
      </w:r>
      <w:r w:rsidR="00634D5F">
        <w:rPr>
          <w:rFonts w:asciiTheme="majorBidi" w:hAnsiTheme="majorBidi" w:cstheme="majorBidi"/>
          <w:color w:val="000000"/>
          <w:sz w:val="24"/>
          <w:szCs w:val="24"/>
          <w:lang w:val="en-CA"/>
        </w:rPr>
        <w:t>TDA1-APAF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</w:t>
      </w:r>
      <w:r w:rsidR="00634D5F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exhibited lower BET surface area of </w:t>
      </w:r>
      <w:r w:rsidR="00634D5F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260 </w:t>
      </w:r>
      <w:r w:rsidR="00634D5F" w:rsidRPr="003740A2">
        <w:rPr>
          <w:rFonts w:asciiTheme="majorBidi" w:hAnsiTheme="majorBidi" w:cstheme="majorBidi"/>
          <w:bCs/>
          <w:sz w:val="24"/>
          <w:szCs w:val="24"/>
        </w:rPr>
        <w:t>m</w:t>
      </w:r>
      <w:r w:rsidR="00634D5F" w:rsidRPr="003740A2">
        <w:rPr>
          <w:rFonts w:asciiTheme="majorBidi" w:hAnsiTheme="majorBidi" w:cstheme="majorBidi"/>
          <w:bCs/>
          <w:sz w:val="24"/>
          <w:szCs w:val="24"/>
          <w:vertAlign w:val="superscript"/>
        </w:rPr>
        <w:t xml:space="preserve">2 </w:t>
      </w:r>
      <w:r w:rsidR="00634D5F" w:rsidRPr="003740A2">
        <w:rPr>
          <w:rFonts w:asciiTheme="majorBidi" w:hAnsiTheme="majorBidi" w:cstheme="majorBidi"/>
          <w:bCs/>
          <w:sz w:val="24"/>
          <w:szCs w:val="24"/>
        </w:rPr>
        <w:t>g</w:t>
      </w:r>
      <w:r w:rsidR="00634D5F" w:rsidRPr="003740A2">
        <w:rPr>
          <w:rFonts w:asciiTheme="majorBidi" w:hAnsiTheme="majorBidi" w:cstheme="majorBidi"/>
          <w:bCs/>
          <w:sz w:val="24"/>
          <w:szCs w:val="24"/>
          <w:vertAlign w:val="superscript"/>
        </w:rPr>
        <w:t>-</w:t>
      </w:r>
      <w:r w:rsidR="00634D5F" w:rsidRPr="00634D5F">
        <w:rPr>
          <w:rFonts w:asciiTheme="majorBidi" w:hAnsiTheme="majorBidi" w:cstheme="majorBidi"/>
          <w:bCs/>
          <w:sz w:val="24"/>
          <w:szCs w:val="24"/>
        </w:rPr>
        <w:t>1</w:t>
      </w:r>
      <w:r w:rsidR="00634D5F">
        <w:rPr>
          <w:rFonts w:asciiTheme="majorBidi" w:hAnsiTheme="majorBidi" w:cstheme="majorBidi"/>
          <w:bCs/>
          <w:sz w:val="24"/>
          <w:szCs w:val="24"/>
        </w:rPr>
        <w:t xml:space="preserve"> and </w:t>
      </w:r>
      <w:r w:rsidR="003740A2" w:rsidRPr="00634D5F">
        <w:rPr>
          <w:rFonts w:asciiTheme="majorBidi" w:hAnsiTheme="majorBidi" w:cstheme="majorBidi"/>
          <w:color w:val="000000"/>
          <w:sz w:val="24"/>
          <w:szCs w:val="24"/>
          <w:lang w:val="en-CA"/>
        </w:rPr>
        <w:t>was</w:t>
      </w:r>
      <w:r w:rsidR="003740A2" w:rsidRPr="003740A2">
        <w:rPr>
          <w:rFonts w:asciiTheme="majorBidi" w:hAnsiTheme="majorBidi" w:cstheme="majorBidi"/>
          <w:color w:val="000000"/>
          <w:sz w:val="24"/>
          <w:szCs w:val="24"/>
          <w:lang w:val="en-CA"/>
        </w:rPr>
        <w:t xml:space="preserve"> designed </w:t>
      </w:r>
      <w:r w:rsidR="003740A2" w:rsidRPr="003740A2">
        <w:rPr>
          <w:rFonts w:asciiTheme="majorBidi" w:hAnsiTheme="majorBidi" w:cstheme="majorBidi"/>
          <w:sz w:val="24"/>
          <w:szCs w:val="24"/>
        </w:rPr>
        <w:t>to enhance selectivit</w:t>
      </w:r>
      <w:r w:rsidR="00634D5F">
        <w:rPr>
          <w:rFonts w:asciiTheme="majorBidi" w:hAnsiTheme="majorBidi" w:cstheme="majorBidi"/>
          <w:sz w:val="24"/>
          <w:szCs w:val="24"/>
        </w:rPr>
        <w:t>y</w:t>
      </w:r>
      <w:r w:rsidR="003740A2" w:rsidRPr="003740A2">
        <w:rPr>
          <w:rFonts w:asciiTheme="majorBidi" w:hAnsiTheme="majorBidi" w:cstheme="majorBidi"/>
          <w:sz w:val="24"/>
          <w:szCs w:val="24"/>
        </w:rPr>
        <w:t xml:space="preserve">, while maintaining high gas permeability. </w:t>
      </w:r>
      <w:r w:rsidR="00634D5F" w:rsidRPr="00634D5F">
        <w:rPr>
          <w:rFonts w:asciiTheme="majorBidi" w:hAnsiTheme="majorBidi" w:cstheme="majorBidi"/>
          <w:sz w:val="24"/>
          <w:szCs w:val="24"/>
        </w:rPr>
        <w:t>A freshly prepared sample exhibited excellent gas permeation properties: (i) CO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permeability of 40 Barrer coupled with a CO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>/CH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 xml:space="preserve">4 </w:t>
      </w:r>
      <w:r w:rsidR="00634D5F" w:rsidRPr="00634D5F">
        <w:rPr>
          <w:rFonts w:asciiTheme="majorBidi" w:hAnsiTheme="majorBidi" w:cstheme="majorBidi"/>
          <w:sz w:val="24"/>
          <w:szCs w:val="24"/>
        </w:rPr>
        <w:t>selectivity of 55 and (ii) 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permeability of 94 Barrer with a 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>/CH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 xml:space="preserve">4 </w:t>
      </w:r>
      <w:r w:rsidR="00634D5F" w:rsidRPr="00634D5F">
        <w:rPr>
          <w:rFonts w:asciiTheme="majorBidi" w:hAnsiTheme="majorBidi" w:cstheme="majorBidi"/>
          <w:sz w:val="24"/>
          <w:szCs w:val="24"/>
        </w:rPr>
        <w:t>selectivity of 129. Physical aging over 250 days resulted in significantly enhanced CO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>/CH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and 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>/CH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selectivities of 75 and 183, respectively with only ~ 25% loss in CO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and 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permeability.</w:t>
      </w:r>
      <w:r w:rsidR="00634D5F" w:rsidRPr="00634D5F">
        <w:rPr>
          <w:rFonts w:asciiTheme="majorBidi" w:hAnsiTheme="majorBidi" w:cstheme="majorBidi"/>
          <w:sz w:val="24"/>
          <w:szCs w:val="24"/>
          <w:lang w:val="en-CA"/>
        </w:rPr>
        <w:t xml:space="preserve"> Aged TDA1-APAF </w:t>
      </w:r>
      <w:r w:rsidR="00A37DD3">
        <w:rPr>
          <w:rFonts w:asciiTheme="majorBidi" w:hAnsiTheme="majorBidi" w:cstheme="majorBidi"/>
          <w:sz w:val="24"/>
          <w:szCs w:val="24"/>
          <w:lang w:val="en-CA"/>
        </w:rPr>
        <w:t xml:space="preserve">polyimide </w:t>
      </w:r>
      <w:r w:rsidR="00634D5F" w:rsidRPr="00634D5F">
        <w:rPr>
          <w:rFonts w:asciiTheme="majorBidi" w:hAnsiTheme="majorBidi" w:cstheme="majorBidi"/>
          <w:sz w:val="24"/>
          <w:szCs w:val="24"/>
          <w:lang w:val="en-CA"/>
        </w:rPr>
        <w:t>exhibited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5-fold higher pure-gas CO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permeability (30 Barrer) and 2-fold higher CO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>/CH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permselectivity over conventional dense cellulose triacetate membranes at 2 bar. In addition, TDA1-APAF polyimide had a N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>/CH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selectivity of 2.3, thereby making it possible to simultaneously treat CO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- and nitrogen-contaminated natural gas.  </w:t>
      </w:r>
      <w:r w:rsidR="00634D5F" w:rsidRPr="00634D5F">
        <w:rPr>
          <w:rFonts w:asciiTheme="majorBidi" w:hAnsiTheme="majorBidi" w:cstheme="majorBidi"/>
          <w:sz w:val="24"/>
          <w:szCs w:val="24"/>
          <w:lang w:val="en-CA"/>
        </w:rPr>
        <w:t xml:space="preserve">Gas mixture permeation experiments with a </w:t>
      </w:r>
      <w:r w:rsidR="00634D5F" w:rsidRPr="00634D5F">
        <w:rPr>
          <w:rFonts w:asciiTheme="majorBidi" w:hAnsiTheme="majorBidi" w:cstheme="majorBidi"/>
          <w:sz w:val="24"/>
          <w:szCs w:val="24"/>
        </w:rPr>
        <w:t>1:1 CO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34D5F" w:rsidRPr="00634D5F">
        <w:rPr>
          <w:rFonts w:asciiTheme="majorBidi" w:hAnsiTheme="majorBidi" w:cstheme="majorBidi"/>
          <w:sz w:val="24"/>
          <w:szCs w:val="24"/>
        </w:rPr>
        <w:t>/CH</w:t>
      </w:r>
      <w:r w:rsidR="00634D5F" w:rsidRPr="00634D5F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="00634D5F" w:rsidRPr="00634D5F">
        <w:rPr>
          <w:rFonts w:asciiTheme="majorBidi" w:hAnsiTheme="majorBidi" w:cstheme="majorBidi"/>
          <w:sz w:val="24"/>
          <w:szCs w:val="24"/>
        </w:rPr>
        <w:t xml:space="preserve"> feed mixture demonstrated higher mixed- than pure-gas selectivity and plasticization resistance up to 30 bar.</w:t>
      </w:r>
      <w:r w:rsidR="00634D5F" w:rsidRPr="00634D5F">
        <w:rPr>
          <w:rFonts w:asciiTheme="majorBidi" w:hAnsiTheme="majorBidi" w:cstheme="majorBidi"/>
          <w:sz w:val="24"/>
          <w:szCs w:val="24"/>
          <w:lang w:val="en-CA"/>
        </w:rPr>
        <w:t xml:space="preserve"> </w:t>
      </w:r>
      <w:r w:rsidRPr="006A5A76">
        <w:rPr>
          <w:rFonts w:asciiTheme="majorBidi" w:hAnsiTheme="majorBidi" w:cstheme="majorBidi"/>
          <w:sz w:val="24"/>
          <w:szCs w:val="24"/>
        </w:rPr>
        <w:t xml:space="preserve">These results suggest that intrinsically microporous </w:t>
      </w:r>
      <w:r w:rsidRPr="006A5A76">
        <w:rPr>
          <w:rFonts w:asciiTheme="majorBidi" w:hAnsiTheme="majorBidi" w:cstheme="majorBidi"/>
          <w:color w:val="2E2E2E"/>
          <w:sz w:val="24"/>
          <w:szCs w:val="24"/>
        </w:rPr>
        <w:t>hydroxyl-functionalized triptycene-</w:t>
      </w:r>
      <w:r w:rsidRPr="006A5A76">
        <w:rPr>
          <w:rFonts w:asciiTheme="majorBidi" w:hAnsiTheme="majorBidi" w:cstheme="majorBidi"/>
          <w:sz w:val="24"/>
          <w:szCs w:val="24"/>
        </w:rPr>
        <w:t xml:space="preserve">based polyimides are promising candidate membrane materials for </w:t>
      </w:r>
      <w:r w:rsidRPr="006A5A76">
        <w:rPr>
          <w:rFonts w:asciiTheme="majorBidi" w:hAnsiTheme="majorBidi" w:cstheme="majorBidi"/>
          <w:i/>
          <w:iCs/>
          <w:sz w:val="24"/>
          <w:szCs w:val="24"/>
        </w:rPr>
        <w:t>simultaneous</w:t>
      </w:r>
      <w:r w:rsidRPr="006A5A76">
        <w:rPr>
          <w:rFonts w:asciiTheme="majorBidi" w:hAnsiTheme="majorBidi" w:cstheme="majorBidi"/>
          <w:sz w:val="24"/>
          <w:szCs w:val="24"/>
        </w:rPr>
        <w:t xml:space="preserve"> removal of CO</w:t>
      </w:r>
      <w:r w:rsidRPr="006A5A76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6A5A76">
        <w:rPr>
          <w:rFonts w:asciiTheme="majorBidi" w:hAnsiTheme="majorBidi" w:cstheme="majorBidi"/>
          <w:sz w:val="24"/>
          <w:szCs w:val="24"/>
        </w:rPr>
        <w:t xml:space="preserve"> and N</w:t>
      </w:r>
      <w:r w:rsidRPr="006A5A76">
        <w:rPr>
          <w:rFonts w:asciiTheme="majorBidi" w:hAnsiTheme="majorBidi" w:cstheme="majorBidi"/>
          <w:sz w:val="24"/>
          <w:szCs w:val="24"/>
          <w:vertAlign w:val="subscript"/>
        </w:rPr>
        <w:t xml:space="preserve">2 </w:t>
      </w:r>
      <w:r w:rsidR="00634D5F">
        <w:rPr>
          <w:rFonts w:asciiTheme="majorBidi" w:hAnsiTheme="majorBidi" w:cstheme="majorBidi"/>
          <w:sz w:val="24"/>
          <w:szCs w:val="24"/>
        </w:rPr>
        <w:t>for</w:t>
      </w:r>
      <w:r w:rsidRPr="006A5A76">
        <w:rPr>
          <w:rFonts w:asciiTheme="majorBidi" w:hAnsiTheme="majorBidi" w:cstheme="majorBidi"/>
          <w:sz w:val="24"/>
          <w:szCs w:val="24"/>
        </w:rPr>
        <w:t xml:space="preserve"> natural gas sweetening and hydrogen purification </w:t>
      </w:r>
      <w:r w:rsidR="00634D5F">
        <w:rPr>
          <w:rFonts w:asciiTheme="majorBidi" w:hAnsiTheme="majorBidi" w:cstheme="majorBidi"/>
          <w:sz w:val="24"/>
          <w:szCs w:val="24"/>
        </w:rPr>
        <w:t>i</w:t>
      </w:r>
      <w:r w:rsidRPr="006A5A76">
        <w:rPr>
          <w:rFonts w:asciiTheme="majorBidi" w:hAnsiTheme="majorBidi" w:cstheme="majorBidi"/>
          <w:sz w:val="24"/>
          <w:szCs w:val="24"/>
        </w:rPr>
        <w:t>n petr</w:t>
      </w:r>
      <w:r w:rsidR="001E04EF">
        <w:rPr>
          <w:rFonts w:asciiTheme="majorBidi" w:hAnsiTheme="majorBidi" w:cstheme="majorBidi"/>
          <w:sz w:val="24"/>
          <w:szCs w:val="24"/>
        </w:rPr>
        <w:t>ochemical refinery applications.</w:t>
      </w:r>
      <w:bookmarkStart w:id="0" w:name="_GoBack"/>
      <w:bookmarkEnd w:id="0"/>
    </w:p>
    <w:sectPr w:rsidR="00990355" w:rsidRPr="001E0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968EB"/>
    <w:multiLevelType w:val="hybridMultilevel"/>
    <w:tmpl w:val="C0424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63F"/>
    <w:rsid w:val="00074119"/>
    <w:rsid w:val="000C3984"/>
    <w:rsid w:val="000E2508"/>
    <w:rsid w:val="001E04EF"/>
    <w:rsid w:val="0022363F"/>
    <w:rsid w:val="002C2734"/>
    <w:rsid w:val="003740A2"/>
    <w:rsid w:val="003D52EC"/>
    <w:rsid w:val="004047B2"/>
    <w:rsid w:val="005F35A3"/>
    <w:rsid w:val="00634D5F"/>
    <w:rsid w:val="00635BC0"/>
    <w:rsid w:val="006A5A76"/>
    <w:rsid w:val="00856A19"/>
    <w:rsid w:val="00A37DD3"/>
    <w:rsid w:val="00AA3F64"/>
    <w:rsid w:val="00B97403"/>
    <w:rsid w:val="00C94B6E"/>
    <w:rsid w:val="00D77314"/>
    <w:rsid w:val="00E46311"/>
    <w:rsid w:val="00EB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94D5D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F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F6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F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F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9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362</Words>
  <Characters>2069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KAUST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Ingo Pinnau</cp:lastModifiedBy>
  <cp:revision>3</cp:revision>
  <dcterms:created xsi:type="dcterms:W3CDTF">2016-02-29T13:18:00Z</dcterms:created>
  <dcterms:modified xsi:type="dcterms:W3CDTF">2016-02-29T13:25:00Z</dcterms:modified>
</cp:coreProperties>
</file>