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44" w:rsidRPr="00C723F4" w:rsidRDefault="00BC1744" w:rsidP="00BC1744">
      <w:pPr>
        <w:spacing w:line="360" w:lineRule="auto"/>
        <w:jc w:val="center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Dual</w:t>
      </w:r>
      <w:r w:rsidRPr="00C723F4">
        <w:rPr>
          <w:rFonts w:ascii="Times New Roman" w:hAnsi="Times New Roman"/>
          <w:bCs/>
          <w:sz w:val="24"/>
          <w:szCs w:val="24"/>
        </w:rPr>
        <w:t xml:space="preserve"> CO</w:t>
      </w:r>
      <w:r w:rsidRPr="00C723F4">
        <w:rPr>
          <w:rFonts w:ascii="Times New Roman" w:hAnsi="Times New Roman"/>
          <w:bCs/>
          <w:sz w:val="24"/>
          <w:szCs w:val="24"/>
          <w:vertAlign w:val="subscript"/>
        </w:rPr>
        <w:t>2</w:t>
      </w:r>
      <w:r>
        <w:rPr>
          <w:rFonts w:ascii="Times New Roman" w:hAnsi="Times New Roman"/>
          <w:bCs/>
          <w:sz w:val="24"/>
          <w:szCs w:val="24"/>
        </w:rPr>
        <w:t>-</w:t>
      </w:r>
      <w:r w:rsidRPr="00C723F4">
        <w:rPr>
          <w:rFonts w:ascii="Times New Roman" w:hAnsi="Times New Roman"/>
          <w:bCs/>
          <w:sz w:val="24"/>
          <w:szCs w:val="24"/>
        </w:rPr>
        <w:t xml:space="preserve"> and N</w:t>
      </w:r>
      <w:r w:rsidRPr="00C723F4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C723F4">
        <w:rPr>
          <w:rFonts w:ascii="Times New Roman" w:hAnsi="Times New Roman"/>
          <w:bCs/>
          <w:sz w:val="24"/>
          <w:szCs w:val="24"/>
        </w:rPr>
        <w:t>-selective intrinsically microporous hydroxyl-functionalized triptycene-based polyimide for natural gas upgrading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C3984" w:rsidRPr="000C3984" w:rsidRDefault="000C3984" w:rsidP="000C3984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521CC">
        <w:rPr>
          <w:rFonts w:ascii="Times New Roman" w:hAnsi="Times New Roman"/>
          <w:color w:val="000000"/>
          <w:sz w:val="24"/>
          <w:szCs w:val="24"/>
          <w:lang w:val="en-CA"/>
        </w:rPr>
        <w:t>Fahd Alghunaimi</w:t>
      </w:r>
      <w:r>
        <w:rPr>
          <w:rFonts w:ascii="Times New Roman" w:hAnsi="Times New Roman"/>
          <w:sz w:val="24"/>
          <w:szCs w:val="24"/>
        </w:rPr>
        <w:t>, Bader Ghanem,</w:t>
      </w:r>
      <w:r w:rsidRPr="005521C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521CC">
        <w:rPr>
          <w:rFonts w:ascii="Times New Roman" w:hAnsi="Times New Roman"/>
          <w:sz w:val="24"/>
          <w:szCs w:val="24"/>
        </w:rPr>
        <w:t>Nasser Alaslai</w:t>
      </w:r>
      <w:r>
        <w:rPr>
          <w:rFonts w:ascii="Times New Roman" w:hAnsi="Times New Roman"/>
          <w:sz w:val="24"/>
          <w:szCs w:val="24"/>
        </w:rPr>
        <w:t>, Mohsin Mukaddam, Ingo Pinnau*</w:t>
      </w:r>
    </w:p>
    <w:p w:rsidR="000C3984" w:rsidRPr="005521CC" w:rsidRDefault="000C3984" w:rsidP="000C398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521CC">
        <w:rPr>
          <w:rFonts w:ascii="Times New Roman" w:hAnsi="Times New Roman"/>
          <w:i/>
          <w:sz w:val="24"/>
          <w:szCs w:val="24"/>
        </w:rPr>
        <w:t xml:space="preserve">King Abdullah University of Science and Technology </w:t>
      </w:r>
      <w:r>
        <w:rPr>
          <w:rFonts w:ascii="Times New Roman" w:hAnsi="Times New Roman"/>
          <w:i/>
          <w:sz w:val="24"/>
          <w:szCs w:val="24"/>
        </w:rPr>
        <w:t xml:space="preserve">(KAUST), </w:t>
      </w:r>
      <w:r w:rsidRPr="005521CC">
        <w:rPr>
          <w:rFonts w:ascii="Times New Roman" w:hAnsi="Times New Roman"/>
          <w:i/>
          <w:sz w:val="24"/>
          <w:szCs w:val="24"/>
        </w:rPr>
        <w:t>Advanced Membranes and Porous Materials Center</w:t>
      </w:r>
      <w:r>
        <w:rPr>
          <w:rFonts w:ascii="Times New Roman" w:hAnsi="Times New Roman"/>
          <w:i/>
          <w:sz w:val="24"/>
          <w:szCs w:val="24"/>
        </w:rPr>
        <w:t xml:space="preserve"> (AMPMC)</w:t>
      </w:r>
      <w:r w:rsidRPr="005521CC">
        <w:rPr>
          <w:rFonts w:ascii="Times New Roman" w:hAnsi="Times New Roman"/>
          <w:i/>
          <w:sz w:val="24"/>
          <w:szCs w:val="24"/>
        </w:rPr>
        <w:t>, Division of Physical Sciences and Engineering, Chemical and Biological Engineering Program, Thuwal 23955-6900, Saudi Arabia</w:t>
      </w:r>
    </w:p>
    <w:p w:rsidR="000C3984" w:rsidRPr="003740A2" w:rsidRDefault="000C3984" w:rsidP="000C3984">
      <w:pPr>
        <w:spacing w:line="360" w:lineRule="auto"/>
        <w:jc w:val="center"/>
        <w:rPr>
          <w:rFonts w:asciiTheme="majorBidi" w:hAnsiTheme="majorBidi" w:cstheme="majorBidi"/>
          <w:bCs/>
          <w:kern w:val="3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5521CC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go.pinnau@kaust.edu.sa</w:t>
      </w:r>
    </w:p>
    <w:p w:rsidR="00990355" w:rsidRPr="009D7223" w:rsidRDefault="00AA3F64" w:rsidP="009D722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740A2">
        <w:rPr>
          <w:rFonts w:asciiTheme="majorBidi" w:hAnsiTheme="majorBidi" w:cstheme="majorBidi"/>
          <w:sz w:val="24"/>
          <w:szCs w:val="24"/>
        </w:rPr>
        <w:t xml:space="preserve">The synthesis and gas permeation properties of </w:t>
      </w:r>
      <w:r w:rsidR="00074119" w:rsidRPr="003740A2">
        <w:rPr>
          <w:rFonts w:asciiTheme="majorBidi" w:hAnsiTheme="majorBidi" w:cstheme="majorBidi"/>
          <w:sz w:val="24"/>
          <w:szCs w:val="24"/>
        </w:rPr>
        <w:t>two</w:t>
      </w:r>
      <w:r w:rsidRPr="003740A2">
        <w:rPr>
          <w:rFonts w:asciiTheme="majorBidi" w:hAnsiTheme="majorBidi" w:cstheme="majorBidi"/>
          <w:sz w:val="24"/>
          <w:szCs w:val="24"/>
        </w:rPr>
        <w:t xml:space="preserve"> novel PIM-polyimide</w:t>
      </w:r>
      <w:r w:rsidR="00074119" w:rsidRPr="003740A2">
        <w:rPr>
          <w:rFonts w:asciiTheme="majorBidi" w:hAnsiTheme="majorBidi" w:cstheme="majorBidi"/>
          <w:sz w:val="24"/>
          <w:szCs w:val="24"/>
        </w:rPr>
        <w:t>s (</w:t>
      </w:r>
      <w:r w:rsidR="000741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TDA1-DMN) </w:t>
      </w:r>
      <w:r w:rsidRPr="003740A2">
        <w:rPr>
          <w:rFonts w:asciiTheme="majorBidi" w:hAnsiTheme="majorBidi" w:cstheme="majorBidi"/>
          <w:sz w:val="24"/>
          <w:szCs w:val="24"/>
        </w:rPr>
        <w:t xml:space="preserve"> </w:t>
      </w:r>
      <w:r w:rsidR="00074119" w:rsidRPr="003740A2">
        <w:rPr>
          <w:rFonts w:asciiTheme="majorBidi" w:hAnsiTheme="majorBidi" w:cstheme="majorBidi"/>
          <w:sz w:val="24"/>
          <w:szCs w:val="24"/>
        </w:rPr>
        <w:t xml:space="preserve">and </w:t>
      </w:r>
      <w:r w:rsidRPr="003740A2">
        <w:rPr>
          <w:rFonts w:asciiTheme="majorBidi" w:hAnsiTheme="majorBidi" w:cstheme="majorBidi"/>
          <w:sz w:val="24"/>
          <w:szCs w:val="24"/>
        </w:rPr>
        <w:t>(</w:t>
      </w:r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TDA1-APAF) </w:t>
      </w:r>
      <w:r w:rsidRPr="003740A2">
        <w:rPr>
          <w:rFonts w:asciiTheme="majorBidi" w:hAnsiTheme="majorBidi" w:cstheme="majorBidi"/>
          <w:sz w:val="24"/>
          <w:szCs w:val="24"/>
        </w:rPr>
        <w:t xml:space="preserve">prepared from </w:t>
      </w:r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9,10-dimethyl-2,3,6,7-triptycene </w:t>
      </w:r>
      <w:proofErr w:type="spellStart"/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tetracarboxylic</w:t>
      </w:r>
      <w:proofErr w:type="spellEnd"/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dianhydride (TDA1) </w:t>
      </w:r>
      <w:r w:rsidR="00856A19">
        <w:rPr>
          <w:rFonts w:asciiTheme="majorBidi" w:hAnsiTheme="majorBidi" w:cstheme="majorBidi"/>
          <w:sz w:val="24"/>
          <w:szCs w:val="24"/>
        </w:rPr>
        <w:t>with</w:t>
      </w:r>
      <w:r w:rsidRPr="003740A2">
        <w:rPr>
          <w:rFonts w:asciiTheme="majorBidi" w:hAnsiTheme="majorBidi" w:cstheme="majorBidi"/>
          <w:sz w:val="24"/>
          <w:szCs w:val="24"/>
        </w:rPr>
        <w:t xml:space="preserve"> commercially available </w:t>
      </w:r>
      <w:r w:rsidR="00074119" w:rsidRPr="003740A2">
        <w:rPr>
          <w:rFonts w:asciiTheme="majorBidi" w:hAnsiTheme="majorBidi" w:cstheme="majorBidi"/>
          <w:sz w:val="24"/>
          <w:szCs w:val="24"/>
        </w:rPr>
        <w:t>3,3ʹ-</w:t>
      </w:r>
      <w:proofErr w:type="spellStart"/>
      <w:r w:rsidR="00074119" w:rsidRPr="003740A2">
        <w:rPr>
          <w:rFonts w:asciiTheme="majorBidi" w:hAnsiTheme="majorBidi" w:cstheme="majorBidi"/>
          <w:sz w:val="24"/>
          <w:szCs w:val="24"/>
        </w:rPr>
        <w:t>dimethylnaphthidine</w:t>
      </w:r>
      <w:proofErr w:type="spellEnd"/>
      <w:r w:rsidR="00074119" w:rsidRPr="003740A2">
        <w:rPr>
          <w:rFonts w:asciiTheme="majorBidi" w:hAnsiTheme="majorBidi" w:cstheme="majorBidi"/>
          <w:sz w:val="24"/>
          <w:szCs w:val="24"/>
        </w:rPr>
        <w:t xml:space="preserve"> (DMN) and </w:t>
      </w:r>
      <w:r w:rsidRPr="003740A2">
        <w:rPr>
          <w:rFonts w:asciiTheme="majorBidi" w:hAnsiTheme="majorBidi" w:cstheme="majorBidi"/>
          <w:sz w:val="24"/>
          <w:szCs w:val="24"/>
        </w:rPr>
        <w:t>2,2-bis(3-amino-4-hydroxyphenyl)-hexafluoropropane (APAF) diamine monomer</w:t>
      </w:r>
      <w:r w:rsidR="003740A2" w:rsidRPr="003740A2">
        <w:rPr>
          <w:rFonts w:asciiTheme="majorBidi" w:hAnsiTheme="majorBidi" w:cstheme="majorBidi"/>
          <w:sz w:val="24"/>
          <w:szCs w:val="24"/>
        </w:rPr>
        <w:t>s</w:t>
      </w:r>
      <w:r w:rsidR="00856A19">
        <w:rPr>
          <w:rFonts w:asciiTheme="majorBidi" w:hAnsiTheme="majorBidi" w:cstheme="majorBidi"/>
          <w:sz w:val="24"/>
          <w:szCs w:val="24"/>
        </w:rPr>
        <w:t xml:space="preserve"> respectively</w:t>
      </w:r>
      <w:r w:rsidRPr="003740A2">
        <w:rPr>
          <w:rFonts w:asciiTheme="majorBidi" w:hAnsiTheme="majorBidi" w:cstheme="majorBidi"/>
          <w:sz w:val="24"/>
          <w:szCs w:val="24"/>
        </w:rPr>
        <w:t xml:space="preserve"> are reported.</w:t>
      </w:r>
      <w:r w:rsidRPr="003740A2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CA"/>
        </w:rPr>
        <w:t xml:space="preserve"> 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The triptycene building block with bridgehead methyl side groups offers TDA1-DMN with high BET surface area and very high gas permeabilities (CO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vertAlign w:val="subscript"/>
          <w:lang w:val="en-CA"/>
        </w:rPr>
        <w:t>2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= 3700 Barrer) but with only moderate selectivities (CO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vertAlign w:val="subscript"/>
          <w:lang w:val="en-CA"/>
        </w:rPr>
        <w:t>2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/CH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vertAlign w:val="subscript"/>
          <w:lang w:val="en-CA"/>
        </w:rPr>
        <w:t>4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selectivity = 17). Thus, </w:t>
      </w:r>
      <w:r w:rsid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an</w:t>
      </w:r>
      <w:r w:rsidR="003740A2" w:rsidRPr="003740A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740A2" w:rsidRPr="003740A2">
        <w:rPr>
          <w:rFonts w:asciiTheme="majorBidi" w:hAnsiTheme="majorBidi" w:cstheme="majorBidi"/>
          <w:i/>
          <w:iCs/>
          <w:sz w:val="24"/>
          <w:szCs w:val="24"/>
        </w:rPr>
        <w:t>ortho</w:t>
      </w:r>
      <w:proofErr w:type="spellEnd"/>
      <w:r w:rsidR="003740A2" w:rsidRPr="003740A2">
        <w:rPr>
          <w:rFonts w:asciiTheme="majorBidi" w:hAnsiTheme="majorBidi" w:cstheme="majorBidi"/>
          <w:sz w:val="24"/>
          <w:szCs w:val="24"/>
        </w:rPr>
        <w:t xml:space="preserve">-hydroxyl-functionalized polyimide 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(TDA1-APAF) was designed </w:t>
      </w:r>
      <w:r w:rsidR="003740A2" w:rsidRPr="003740A2">
        <w:rPr>
          <w:rFonts w:asciiTheme="majorBidi" w:hAnsiTheme="majorBidi" w:cstheme="majorBidi"/>
          <w:sz w:val="24"/>
          <w:szCs w:val="24"/>
        </w:rPr>
        <w:t xml:space="preserve">to enhance selectivities, while maintaining high gas permeability. 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TDA1-DMN </w:t>
      </w:r>
      <w:r w:rsidR="00856A19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and 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TDA1-APAF h</w:t>
      </w:r>
      <w:r w:rsidR="00856A19">
        <w:rPr>
          <w:rFonts w:asciiTheme="majorBidi" w:hAnsiTheme="majorBidi" w:cstheme="majorBidi"/>
          <w:color w:val="000000"/>
          <w:sz w:val="24"/>
          <w:szCs w:val="24"/>
          <w:lang w:val="en-CA"/>
        </w:rPr>
        <w:t>ad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BET surface area</w:t>
      </w:r>
      <w:r w:rsidR="00856A19">
        <w:rPr>
          <w:rFonts w:asciiTheme="majorBidi" w:hAnsiTheme="majorBidi" w:cstheme="majorBidi"/>
          <w:color w:val="000000"/>
          <w:sz w:val="24"/>
          <w:szCs w:val="24"/>
          <w:lang w:val="en-CA"/>
        </w:rPr>
        <w:t>s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</w:t>
      </w:r>
      <w:r w:rsidR="00B97403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based on nitrogen adsorption of 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760 m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CA"/>
        </w:rPr>
        <w:t>2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g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CA"/>
        </w:rPr>
        <w:t>-1</w:t>
      </w:r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and </w:t>
      </w:r>
      <w:proofErr w:type="gramStart"/>
      <w:r w:rsidR="00856A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260 </w:t>
      </w:r>
      <w:r w:rsidR="00856A19" w:rsidRPr="003740A2">
        <w:rPr>
          <w:rFonts w:asciiTheme="majorBidi" w:hAnsiTheme="majorBidi" w:cstheme="majorBidi"/>
          <w:bCs/>
          <w:sz w:val="24"/>
          <w:szCs w:val="24"/>
        </w:rPr>
        <w:t>m</w:t>
      </w:r>
      <w:r w:rsidR="00856A19" w:rsidRPr="003740A2">
        <w:rPr>
          <w:rFonts w:asciiTheme="majorBidi" w:hAnsiTheme="majorBidi" w:cstheme="majorBidi"/>
          <w:bCs/>
          <w:sz w:val="24"/>
          <w:szCs w:val="24"/>
          <w:vertAlign w:val="superscript"/>
        </w:rPr>
        <w:t xml:space="preserve">2 </w:t>
      </w:r>
      <w:r w:rsidR="00856A19" w:rsidRPr="003740A2">
        <w:rPr>
          <w:rFonts w:asciiTheme="majorBidi" w:hAnsiTheme="majorBidi" w:cstheme="majorBidi"/>
          <w:bCs/>
          <w:sz w:val="24"/>
          <w:szCs w:val="24"/>
        </w:rPr>
        <w:t>g</w:t>
      </w:r>
      <w:r w:rsidR="00856A19" w:rsidRPr="003740A2">
        <w:rPr>
          <w:rFonts w:asciiTheme="majorBidi" w:hAnsiTheme="majorBidi" w:cstheme="majorBidi"/>
          <w:bCs/>
          <w:sz w:val="24"/>
          <w:szCs w:val="24"/>
          <w:vertAlign w:val="superscript"/>
        </w:rPr>
        <w:t>-1</w:t>
      </w:r>
      <w:r w:rsidR="00856A19">
        <w:rPr>
          <w:rFonts w:asciiTheme="majorBidi" w:hAnsiTheme="majorBidi" w:cstheme="majorBidi"/>
          <w:bCs/>
          <w:sz w:val="24"/>
          <w:szCs w:val="24"/>
        </w:rPr>
        <w:t xml:space="preserve"> respectively</w:t>
      </w:r>
      <w:proofErr w:type="gramEnd"/>
      <w:r w:rsidR="00856A19">
        <w:rPr>
          <w:rFonts w:asciiTheme="majorBidi" w:hAnsiTheme="majorBidi" w:cstheme="majorBidi"/>
          <w:bCs/>
          <w:sz w:val="24"/>
          <w:szCs w:val="24"/>
        </w:rPr>
        <w:t>.</w:t>
      </w:r>
      <w:r w:rsidR="00856A19" w:rsidRPr="003740A2">
        <w:rPr>
          <w:rFonts w:asciiTheme="majorBidi" w:hAnsiTheme="majorBidi" w:cstheme="majorBidi"/>
          <w:sz w:val="24"/>
          <w:szCs w:val="24"/>
        </w:rPr>
        <w:t xml:space="preserve"> </w:t>
      </w:r>
      <w:r w:rsidR="00856A19">
        <w:rPr>
          <w:rFonts w:asciiTheme="majorBidi" w:hAnsiTheme="majorBidi" w:cstheme="majorBidi"/>
          <w:sz w:val="24"/>
          <w:szCs w:val="24"/>
        </w:rPr>
        <w:t>The</w:t>
      </w:r>
      <w:r w:rsidRPr="003740A2">
        <w:rPr>
          <w:rFonts w:asciiTheme="majorBidi" w:hAnsiTheme="majorBidi" w:cstheme="majorBidi"/>
          <w:sz w:val="24"/>
          <w:szCs w:val="24"/>
        </w:rPr>
        <w:t xml:space="preserve"> freshly prepared sample</w:t>
      </w:r>
      <w:r w:rsidR="003740A2" w:rsidRPr="003740A2">
        <w:rPr>
          <w:rFonts w:asciiTheme="majorBidi" w:hAnsiTheme="majorBidi" w:cstheme="majorBidi"/>
          <w:sz w:val="24"/>
          <w:szCs w:val="24"/>
        </w:rPr>
        <w:t xml:space="preserve"> of 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TDA1-APAF</w:t>
      </w:r>
      <w:r w:rsidRPr="003740A2">
        <w:rPr>
          <w:rFonts w:asciiTheme="majorBidi" w:hAnsiTheme="majorBidi" w:cstheme="majorBidi"/>
          <w:sz w:val="24"/>
          <w:szCs w:val="24"/>
        </w:rPr>
        <w:t xml:space="preserve"> exhibited excellent gas permeation properties: a 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 xml:space="preserve"> permeability of 94 Barrer with a 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>/CH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 xml:space="preserve">4 </w:t>
      </w:r>
      <w:r w:rsidRPr="003740A2">
        <w:rPr>
          <w:rFonts w:asciiTheme="majorBidi" w:hAnsiTheme="majorBidi" w:cstheme="majorBidi"/>
          <w:sz w:val="24"/>
          <w:szCs w:val="24"/>
        </w:rPr>
        <w:t>selectivity of 129 and CO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 xml:space="preserve"> permeability of 40 Barrer coupled with a CO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>/CH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 xml:space="preserve">4 </w:t>
      </w:r>
      <w:r w:rsidRPr="003740A2">
        <w:rPr>
          <w:rFonts w:asciiTheme="majorBidi" w:hAnsiTheme="majorBidi" w:cstheme="majorBidi"/>
          <w:sz w:val="24"/>
          <w:szCs w:val="24"/>
        </w:rPr>
        <w:t>selectivity of 55. Physical aging over 250 days resulted in enhanced 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>/CH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3740A2">
        <w:rPr>
          <w:rFonts w:asciiTheme="majorBidi" w:hAnsiTheme="majorBidi" w:cstheme="majorBidi"/>
          <w:sz w:val="24"/>
          <w:szCs w:val="24"/>
        </w:rPr>
        <w:t xml:space="preserve"> selectivity of 183 with only ~ 25% loss in 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 xml:space="preserve"> permeability.</w:t>
      </w:r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Aged TDA1-APAF exhibited</w:t>
      </w:r>
      <w:r w:rsidRPr="003740A2">
        <w:rPr>
          <w:rFonts w:asciiTheme="majorBidi" w:hAnsiTheme="majorBidi" w:cstheme="majorBidi"/>
          <w:sz w:val="24"/>
          <w:szCs w:val="24"/>
        </w:rPr>
        <w:t xml:space="preserve"> 5-fold higher pure-gas CO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 xml:space="preserve"> permeability (30 Barrer) and 2-fold increase in CO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>/CH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3740A2">
        <w:rPr>
          <w:rFonts w:asciiTheme="majorBidi" w:hAnsiTheme="majorBidi" w:cstheme="majorBidi"/>
          <w:sz w:val="24"/>
          <w:szCs w:val="24"/>
        </w:rPr>
        <w:t xml:space="preserve"> permselectivity (~75) over conventional dense cellulose triacetate membranes at 2 </w:t>
      </w:r>
      <w:proofErr w:type="gramStart"/>
      <w:r w:rsidRPr="003740A2">
        <w:rPr>
          <w:rFonts w:asciiTheme="majorBidi" w:hAnsiTheme="majorBidi" w:cstheme="majorBidi"/>
          <w:sz w:val="24"/>
          <w:szCs w:val="24"/>
        </w:rPr>
        <w:t>bar</w:t>
      </w:r>
      <w:proofErr w:type="gramEnd"/>
      <w:r w:rsidRPr="003740A2">
        <w:rPr>
          <w:rFonts w:asciiTheme="majorBidi" w:hAnsiTheme="majorBidi" w:cstheme="majorBidi"/>
          <w:sz w:val="24"/>
          <w:szCs w:val="24"/>
        </w:rPr>
        <w:t xml:space="preserve">. </w:t>
      </w:r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Gas mixture permeation experiments with a </w:t>
      </w:r>
      <w:r w:rsidRPr="003740A2">
        <w:rPr>
          <w:rFonts w:asciiTheme="majorBidi" w:hAnsiTheme="majorBidi" w:cstheme="majorBidi"/>
          <w:sz w:val="24"/>
          <w:szCs w:val="24"/>
        </w:rPr>
        <w:t>1:1 CO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3740A2">
        <w:rPr>
          <w:rFonts w:asciiTheme="majorBidi" w:hAnsiTheme="majorBidi" w:cstheme="majorBidi"/>
          <w:sz w:val="24"/>
          <w:szCs w:val="24"/>
        </w:rPr>
        <w:t>/CH</w:t>
      </w:r>
      <w:r w:rsidRPr="003740A2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3740A2">
        <w:rPr>
          <w:rFonts w:asciiTheme="majorBidi" w:hAnsiTheme="majorBidi" w:cstheme="majorBidi"/>
          <w:sz w:val="24"/>
          <w:szCs w:val="24"/>
        </w:rPr>
        <w:t xml:space="preserve"> feed mixture demonstrated higher mixed- than pure-gas selectivity (~88) and plasticization resistance up to 30 </w:t>
      </w:r>
      <w:proofErr w:type="gramStart"/>
      <w:r w:rsidRPr="003740A2">
        <w:rPr>
          <w:rFonts w:asciiTheme="majorBidi" w:hAnsiTheme="majorBidi" w:cstheme="majorBidi"/>
          <w:sz w:val="24"/>
          <w:szCs w:val="24"/>
        </w:rPr>
        <w:t>bar</w:t>
      </w:r>
      <w:proofErr w:type="gramEnd"/>
      <w:r w:rsidRPr="003740A2">
        <w:rPr>
          <w:rFonts w:asciiTheme="majorBidi" w:hAnsiTheme="majorBidi" w:cstheme="majorBidi"/>
          <w:sz w:val="24"/>
          <w:szCs w:val="24"/>
        </w:rPr>
        <w:t>.</w:t>
      </w:r>
      <w:r w:rsidR="006A5A76">
        <w:rPr>
          <w:rFonts w:asciiTheme="majorBidi" w:hAnsiTheme="majorBidi" w:cstheme="majorBidi"/>
          <w:sz w:val="24"/>
          <w:szCs w:val="24"/>
        </w:rPr>
        <w:t xml:space="preserve"> Moreover, </w:t>
      </w:r>
      <w:r w:rsidR="006A5A76">
        <w:rPr>
          <w:rFonts w:ascii="Times New Roman" w:hAnsi="Times New Roman"/>
          <w:sz w:val="24"/>
          <w:szCs w:val="24"/>
        </w:rPr>
        <w:t>a</w:t>
      </w:r>
      <w:r w:rsidR="006A5A76" w:rsidRPr="005521CC">
        <w:rPr>
          <w:rFonts w:ascii="Times New Roman" w:hAnsi="Times New Roman"/>
          <w:sz w:val="24"/>
          <w:szCs w:val="24"/>
        </w:rPr>
        <w:t xml:space="preserve">ged membrane </w:t>
      </w:r>
      <w:r w:rsidR="006A5A76">
        <w:rPr>
          <w:rFonts w:ascii="Times New Roman" w:hAnsi="Times New Roman"/>
          <w:sz w:val="24"/>
          <w:szCs w:val="24"/>
        </w:rPr>
        <w:t>exhibited N</w:t>
      </w:r>
      <w:r w:rsidR="006A5A76" w:rsidRPr="005521CC">
        <w:rPr>
          <w:rFonts w:ascii="Times New Roman" w:hAnsi="Times New Roman"/>
          <w:sz w:val="24"/>
          <w:szCs w:val="24"/>
          <w:vertAlign w:val="subscript"/>
        </w:rPr>
        <w:t>2</w:t>
      </w:r>
      <w:r w:rsidR="006A5A76" w:rsidRPr="005521CC">
        <w:rPr>
          <w:rFonts w:ascii="Times New Roman" w:hAnsi="Times New Roman"/>
          <w:sz w:val="24"/>
          <w:szCs w:val="24"/>
        </w:rPr>
        <w:t>/CH</w:t>
      </w:r>
      <w:r w:rsidR="006A5A76" w:rsidRPr="005521CC">
        <w:rPr>
          <w:rFonts w:ascii="Times New Roman" w:hAnsi="Times New Roman"/>
          <w:sz w:val="24"/>
          <w:szCs w:val="24"/>
          <w:vertAlign w:val="subscript"/>
        </w:rPr>
        <w:t>4</w:t>
      </w:r>
      <w:r w:rsidR="006A5A76">
        <w:rPr>
          <w:rFonts w:ascii="Times New Roman" w:hAnsi="Times New Roman"/>
          <w:sz w:val="24"/>
          <w:szCs w:val="24"/>
        </w:rPr>
        <w:t xml:space="preserve"> selectivity of 2.3 which offer a simultaneous removal of N</w:t>
      </w:r>
      <w:r w:rsidR="006A5A76" w:rsidRPr="00DC4493">
        <w:rPr>
          <w:rFonts w:ascii="Times New Roman" w:hAnsi="Times New Roman"/>
          <w:sz w:val="24"/>
          <w:szCs w:val="24"/>
          <w:vertAlign w:val="subscript"/>
        </w:rPr>
        <w:t>2</w:t>
      </w:r>
      <w:r w:rsidR="006A5A76">
        <w:rPr>
          <w:rFonts w:ascii="Times New Roman" w:hAnsi="Times New Roman"/>
          <w:sz w:val="24"/>
          <w:szCs w:val="24"/>
        </w:rPr>
        <w:t xml:space="preserve"> and CO</w:t>
      </w:r>
      <w:r w:rsidR="006A5A76" w:rsidRPr="00DC4493">
        <w:rPr>
          <w:rFonts w:ascii="Times New Roman" w:hAnsi="Times New Roman"/>
          <w:sz w:val="24"/>
          <w:szCs w:val="24"/>
          <w:vertAlign w:val="subscript"/>
        </w:rPr>
        <w:t>2</w:t>
      </w:r>
      <w:r w:rsidR="006A5A76">
        <w:rPr>
          <w:rFonts w:ascii="Times New Roman" w:hAnsi="Times New Roman"/>
          <w:sz w:val="24"/>
          <w:szCs w:val="24"/>
        </w:rPr>
        <w:t xml:space="preserve"> </w:t>
      </w:r>
      <w:r w:rsidR="002C2734" w:rsidRPr="003740A2">
        <w:rPr>
          <w:rFonts w:asciiTheme="majorBidi" w:hAnsiTheme="majorBidi" w:cstheme="majorBidi"/>
          <w:bCs/>
          <w:sz w:val="24"/>
          <w:szCs w:val="24"/>
        </w:rPr>
        <w:t>for natural gas upgrading</w:t>
      </w:r>
      <w:r w:rsidR="006A5A76">
        <w:rPr>
          <w:rFonts w:ascii="Times New Roman" w:hAnsi="Times New Roman"/>
          <w:sz w:val="24"/>
          <w:szCs w:val="24"/>
        </w:rPr>
        <w:t>.</w:t>
      </w:r>
      <w:r w:rsidR="00E46311">
        <w:rPr>
          <w:rFonts w:ascii="Times New Roman" w:hAnsi="Times New Roman"/>
          <w:sz w:val="24"/>
          <w:szCs w:val="24"/>
        </w:rPr>
        <w:t xml:space="preserve"> </w:t>
      </w:r>
      <w:r w:rsidRPr="006A5A76">
        <w:rPr>
          <w:rFonts w:asciiTheme="majorBidi" w:hAnsiTheme="majorBidi" w:cstheme="majorBidi"/>
          <w:sz w:val="24"/>
          <w:szCs w:val="24"/>
        </w:rPr>
        <w:t xml:space="preserve">These results suggest that intrinsically microporous </w:t>
      </w:r>
      <w:r w:rsidRPr="006A5A76">
        <w:rPr>
          <w:rFonts w:asciiTheme="majorBidi" w:hAnsiTheme="majorBidi" w:cstheme="majorBidi"/>
          <w:color w:val="2E2E2E"/>
          <w:sz w:val="24"/>
          <w:szCs w:val="24"/>
        </w:rPr>
        <w:t>hydroxyl-functionalized triptycene-</w:t>
      </w:r>
      <w:r w:rsidRPr="006A5A76">
        <w:rPr>
          <w:rFonts w:asciiTheme="majorBidi" w:hAnsiTheme="majorBidi" w:cstheme="majorBidi"/>
          <w:sz w:val="24"/>
          <w:szCs w:val="24"/>
        </w:rPr>
        <w:t xml:space="preserve">based polyimides are promising candidate membrane materials for </w:t>
      </w:r>
      <w:r w:rsidRPr="006A5A76">
        <w:rPr>
          <w:rFonts w:asciiTheme="majorBidi" w:hAnsiTheme="majorBidi" w:cstheme="majorBidi"/>
          <w:i/>
          <w:iCs/>
          <w:sz w:val="24"/>
          <w:szCs w:val="24"/>
        </w:rPr>
        <w:t>simultaneous</w:t>
      </w:r>
      <w:r w:rsidRPr="006A5A76">
        <w:rPr>
          <w:rFonts w:asciiTheme="majorBidi" w:hAnsiTheme="majorBidi" w:cstheme="majorBidi"/>
          <w:sz w:val="24"/>
          <w:szCs w:val="24"/>
        </w:rPr>
        <w:t xml:space="preserve"> removal of CO</w:t>
      </w:r>
      <w:r w:rsidRPr="006A5A76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6A5A76">
        <w:rPr>
          <w:rFonts w:asciiTheme="majorBidi" w:hAnsiTheme="majorBidi" w:cstheme="majorBidi"/>
          <w:sz w:val="24"/>
          <w:szCs w:val="24"/>
        </w:rPr>
        <w:t xml:space="preserve"> and N</w:t>
      </w:r>
      <w:r w:rsidRPr="006A5A76"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r w:rsidRPr="006A5A76">
        <w:rPr>
          <w:rFonts w:asciiTheme="majorBidi" w:hAnsiTheme="majorBidi" w:cstheme="majorBidi"/>
          <w:sz w:val="24"/>
          <w:szCs w:val="24"/>
        </w:rPr>
        <w:t>on natural gas sweetening and hydrogen purification on petrochemical refinery applications.</w:t>
      </w:r>
      <w:bookmarkStart w:id="0" w:name="_GoBack"/>
      <w:bookmarkEnd w:id="0"/>
    </w:p>
    <w:sectPr w:rsidR="00990355" w:rsidRPr="009D7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968EB"/>
    <w:multiLevelType w:val="hybridMultilevel"/>
    <w:tmpl w:val="C0424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3F"/>
    <w:rsid w:val="00074119"/>
    <w:rsid w:val="000C3984"/>
    <w:rsid w:val="000E2508"/>
    <w:rsid w:val="0022363F"/>
    <w:rsid w:val="002C2734"/>
    <w:rsid w:val="003740A2"/>
    <w:rsid w:val="003D52EC"/>
    <w:rsid w:val="004047B2"/>
    <w:rsid w:val="005F35A3"/>
    <w:rsid w:val="00635BC0"/>
    <w:rsid w:val="006A5A76"/>
    <w:rsid w:val="00856A19"/>
    <w:rsid w:val="009D7223"/>
    <w:rsid w:val="00AA3F64"/>
    <w:rsid w:val="00B97403"/>
    <w:rsid w:val="00BC1744"/>
    <w:rsid w:val="00E46311"/>
    <w:rsid w:val="00EB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F6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F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9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KAUST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2016-03-07T19:51:00Z</dcterms:created>
  <dcterms:modified xsi:type="dcterms:W3CDTF">2016-03-07T19:52:00Z</dcterms:modified>
</cp:coreProperties>
</file>