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F76EC" w14:textId="1C61832F" w:rsidR="00C36899" w:rsidRPr="00662D5A" w:rsidRDefault="009E297A" w:rsidP="00662D5A">
      <w:pPr>
        <w:pStyle w:val="IWAPaperTitle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2D5A">
        <w:rPr>
          <w:rFonts w:ascii="Times New Roman" w:hAnsi="Times New Roman" w:cs="Times New Roman"/>
          <w:sz w:val="24"/>
          <w:szCs w:val="24"/>
          <w:lang w:val="en-US"/>
        </w:rPr>
        <w:t>Desalination Membranes; Biofouling detection using bacterial enzyme activity in an at-line sensor</w:t>
      </w:r>
    </w:p>
    <w:p w14:paraId="14E201F2" w14:textId="5BF9433B" w:rsidR="00C36899" w:rsidRPr="00662D5A" w:rsidRDefault="008329E6" w:rsidP="00662D5A">
      <w:pPr>
        <w:pStyle w:val="IWAAuthornames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2D5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662D5A">
        <w:rPr>
          <w:rFonts w:ascii="Times New Roman" w:hAnsi="Times New Roman" w:cs="Times New Roman"/>
          <w:sz w:val="24"/>
          <w:szCs w:val="24"/>
          <w:lang w:val="en-US"/>
        </w:rPr>
        <w:t xml:space="preserve">abar </w:t>
      </w:r>
      <w:r w:rsidRPr="00662D5A">
        <w:rPr>
          <w:rFonts w:ascii="Times New Roman" w:hAnsi="Times New Roman" w:cs="Times New Roman"/>
          <w:sz w:val="24"/>
          <w:szCs w:val="24"/>
          <w:lang w:val="en-US"/>
        </w:rPr>
        <w:t>K. Khan</w:t>
      </w:r>
      <w:r w:rsidR="00C36899" w:rsidRPr="00662D5A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r w:rsidRPr="00662D5A">
        <w:rPr>
          <w:rFonts w:ascii="Times New Roman" w:hAnsi="Times New Roman" w:cs="Times New Roman"/>
          <w:sz w:val="24"/>
          <w:szCs w:val="24"/>
          <w:lang w:val="en-US"/>
        </w:rPr>
        <w:t>L. Fortunato</w:t>
      </w:r>
      <w:r w:rsidR="00C36899" w:rsidRPr="00662D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662D5A">
        <w:rPr>
          <w:rFonts w:ascii="Times New Roman" w:hAnsi="Times New Roman" w:cs="Times New Roman"/>
          <w:sz w:val="24"/>
          <w:szCs w:val="24"/>
          <w:lang w:val="en-US"/>
        </w:rPr>
        <w:t>T. Leiknes</w:t>
      </w:r>
    </w:p>
    <w:p w14:paraId="3D715BF5" w14:textId="77777777" w:rsidR="008329E6" w:rsidRPr="00662D5A" w:rsidRDefault="008329E6" w:rsidP="00662D5A">
      <w:pPr>
        <w:pStyle w:val="IWAAuthoraddress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2D5A">
        <w:rPr>
          <w:rFonts w:ascii="Times New Roman" w:hAnsi="Times New Roman" w:cs="Times New Roman"/>
          <w:sz w:val="24"/>
          <w:szCs w:val="24"/>
          <w:lang w:val="en-US"/>
        </w:rPr>
        <w:t>*King Abdullah University of Science and Technology (KAUST), Thuwal 23955-6900, Saudi Arabia</w:t>
      </w:r>
      <w:r w:rsidR="00133205" w:rsidRPr="00662D5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8" w:history="1">
        <w:r w:rsidRPr="00662D5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babar.khan.2@kaust.edu.sa</w:t>
        </w:r>
      </w:hyperlink>
    </w:p>
    <w:p w14:paraId="29D4F872" w14:textId="4B903B37" w:rsidR="00662D5A" w:rsidRPr="00662D5A" w:rsidRDefault="00C36899" w:rsidP="00662D5A">
      <w:pPr>
        <w:pStyle w:val="IWAKeyword"/>
        <w:jc w:val="both"/>
        <w:rPr>
          <w:rFonts w:asciiTheme="majorBidi" w:hAnsiTheme="majorBidi" w:cs="Times New Roman"/>
          <w:sz w:val="24"/>
          <w:szCs w:val="24"/>
          <w:lang w:val="en-US"/>
        </w:rPr>
      </w:pPr>
      <w:r w:rsidRPr="00662D5A">
        <w:rPr>
          <w:rFonts w:asciiTheme="majorBidi" w:hAnsiTheme="majorBidi" w:cs="Times New Roman"/>
          <w:b/>
          <w:sz w:val="24"/>
          <w:szCs w:val="24"/>
          <w:lang w:val="en-US"/>
        </w:rPr>
        <w:t>Abstract: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</w:t>
      </w:r>
      <w:r w:rsidR="008E651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The advent of advanced membranes for water desalination 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over the past several decades </w:t>
      </w:r>
      <w:r w:rsidR="00020DCE" w:rsidRPr="00662D5A">
        <w:rPr>
          <w:rFonts w:asciiTheme="majorBidi" w:hAnsiTheme="majorBidi" w:cs="Times New Roman"/>
          <w:sz w:val="24"/>
          <w:szCs w:val="24"/>
          <w:lang w:val="en-US"/>
        </w:rPr>
        <w:t>have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greatly improved water purification</w:t>
      </w:r>
      <w:r w:rsidR="00020DCE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processes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. Biofouling 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is a major recurring cost driver 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>for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membranes used in desalination. A number of methods have been developed to detect 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>bacterial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growth and provide cleaning guidance, but most suffer from either being unviable </w:t>
      </w:r>
      <w:r w:rsidR="00662D5A" w:rsidRPr="00662D5A">
        <w:rPr>
          <w:rFonts w:asciiTheme="majorBidi" w:hAnsiTheme="majorBidi" w:cs="Times New Roman"/>
          <w:i/>
          <w:iCs/>
          <w:sz w:val="24"/>
          <w:szCs w:val="24"/>
          <w:lang w:val="en-US"/>
        </w:rPr>
        <w:t>in-situ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or are not capable of early 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>biofouling</w:t>
      </w:r>
      <w:r w:rsidR="00662D5A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detection. </w:t>
      </w:r>
    </w:p>
    <w:p w14:paraId="70CA72A6" w14:textId="77777777" w:rsidR="00662D5A" w:rsidRPr="00662D5A" w:rsidRDefault="00662D5A" w:rsidP="00662D5A">
      <w:pPr>
        <w:pStyle w:val="IWAKeyword"/>
        <w:jc w:val="both"/>
        <w:rPr>
          <w:rFonts w:asciiTheme="majorBidi" w:hAnsiTheme="majorBidi" w:cs="Times New Roman"/>
          <w:sz w:val="24"/>
          <w:szCs w:val="24"/>
          <w:lang w:val="en-US"/>
        </w:rPr>
      </w:pP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A prototype at-line sensor was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devised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and paired with a seawater based flow cell t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o inject fluorogen bound bacterial substrates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(fluorogen-substrates)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at discreet time points and measure fluorescence from the liberated fluorogen to determine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bacterial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extracellular enzyme activity.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Planktonic and biofilm bacteria in aquatic systems produce extracellular enzymes to catalyze large molecules into assimilable molecules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during growth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.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Results demonstrate the capability to track ba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cterial biomass from initiation of colonization to biofouling on the membrane surface. Additionally, Optical Coherence Tomography (OCT) was used to visualize the surface in real-time to validate biomass accumulation.</w:t>
      </w:r>
    </w:p>
    <w:p w14:paraId="26D6564A" w14:textId="049516AA" w:rsidR="00662D5A" w:rsidRPr="00662D5A" w:rsidRDefault="00662D5A" w:rsidP="00662D5A">
      <w:pPr>
        <w:pStyle w:val="IWAKeyword"/>
        <w:jc w:val="both"/>
        <w:rPr>
          <w:rFonts w:asciiTheme="majorBidi" w:hAnsiTheme="majorBidi"/>
          <w:sz w:val="24"/>
          <w:szCs w:val="24"/>
          <w:lang w:val="en-US"/>
        </w:rPr>
      </w:pP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This approach has the advantage of indirectly measuring bacterial abundance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on membranes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not readily adaptable for direct visualization (RO membrane modules), without the need for sophisticated techniques found in other molecular approaches (Flow cytometry). Our results indicate that 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>extracellular enz</w:t>
      </w:r>
      <w:bookmarkStart w:id="0" w:name="_GoBack"/>
      <w:bookmarkEnd w:id="0"/>
      <w:r w:rsidRPr="00662D5A">
        <w:rPr>
          <w:rFonts w:asciiTheme="majorBidi" w:hAnsiTheme="majorBidi" w:cs="Times New Roman"/>
          <w:sz w:val="24"/>
          <w:szCs w:val="24"/>
          <w:lang w:val="en-US"/>
        </w:rPr>
        <w:t>yme activity</w:t>
      </w:r>
      <w:r w:rsidRPr="00662D5A">
        <w:rPr>
          <w:rFonts w:asciiTheme="majorBidi" w:hAnsiTheme="majorBidi" w:cs="Times New Roman"/>
          <w:sz w:val="24"/>
          <w:szCs w:val="24"/>
          <w:lang w:val="en-US"/>
        </w:rPr>
        <w:t xml:space="preserve"> can be used in early biofouling detection as a prognostic tool to guide cleaning protocols in aqueous systems.</w:t>
      </w:r>
    </w:p>
    <w:p w14:paraId="40E1A4F0" w14:textId="44584620" w:rsidR="004A3301" w:rsidRPr="00662D5A" w:rsidRDefault="00662D5A" w:rsidP="00080F25">
      <w:pPr>
        <w:pStyle w:val="IWAKeyword"/>
        <w:jc w:val="both"/>
        <w:rPr>
          <w:rFonts w:asciiTheme="majorBidi" w:hAnsiTheme="majorBidi" w:cs="Times New Roman"/>
          <w:b/>
          <w:sz w:val="24"/>
          <w:szCs w:val="24"/>
          <w:lang w:val="en-US"/>
        </w:rPr>
      </w:pPr>
      <w:r w:rsidRPr="00662D5A">
        <w:rPr>
          <w:rFonts w:asciiTheme="majorBidi" w:hAnsiTheme="majorBidi" w:cs="Times New Roman"/>
          <w:sz w:val="24"/>
          <w:szCs w:val="24"/>
          <w:lang w:val="en-US"/>
        </w:rPr>
        <w:t>I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>n this study, f</w:t>
      </w:r>
      <w:r w:rsidR="008329E6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luorogen-substrate cleavage by 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bacterial </w:t>
      </w:r>
      <w:r w:rsidR="008329E6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extracellular enzymes 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was </w:t>
      </w:r>
      <w:r w:rsidR="00020DCE" w:rsidRPr="00662D5A">
        <w:rPr>
          <w:rFonts w:asciiTheme="majorBidi" w:hAnsiTheme="majorBidi" w:cs="Times New Roman"/>
          <w:sz w:val="24"/>
          <w:szCs w:val="24"/>
          <w:lang w:val="en-US"/>
        </w:rPr>
        <w:t>u</w:t>
      </w:r>
      <w:r w:rsidR="008329E6" w:rsidRPr="00662D5A">
        <w:rPr>
          <w:rFonts w:asciiTheme="majorBidi" w:hAnsiTheme="majorBidi" w:cs="Times New Roman"/>
          <w:sz w:val="24"/>
          <w:szCs w:val="24"/>
          <w:lang w:val="en-US"/>
        </w:rPr>
        <w:t xml:space="preserve">sed to monitor bacterial colonization proximal to the surface of membrane filtration systems non-invasively. </w:t>
      </w:r>
      <w:r w:rsidR="00501AA5" w:rsidRPr="00662D5A">
        <w:rPr>
          <w:rFonts w:asciiTheme="majorBidi" w:hAnsiTheme="majorBidi" w:cs="Times New Roman"/>
          <w:sz w:val="24"/>
          <w:szCs w:val="24"/>
          <w:lang w:val="en-US"/>
        </w:rPr>
        <w:t>Biofouling is a major impediment to the lifecycle of membranes</w:t>
      </w:r>
      <w:r w:rsidR="00020DCE" w:rsidRPr="00662D5A">
        <w:rPr>
          <w:rFonts w:asciiTheme="majorBidi" w:hAnsiTheme="majorBidi" w:cs="Times New Roman"/>
          <w:sz w:val="24"/>
          <w:szCs w:val="24"/>
          <w:lang w:val="en-US"/>
        </w:rPr>
        <w:t>, m</w:t>
      </w:r>
      <w:r w:rsidR="00020DCE" w:rsidRPr="00662D5A">
        <w:rPr>
          <w:rFonts w:asciiTheme="majorBidi" w:hAnsiTheme="majorBidi"/>
          <w:sz w:val="24"/>
          <w:szCs w:val="24"/>
          <w:lang w:val="en-US"/>
        </w:rPr>
        <w:t>easuring enzymatic activity by fluorogen-substrates cleavage can be utilized to monitor membrane health for guiding anti-biofouling practices, extending membrane lifespan.</w:t>
      </w:r>
    </w:p>
    <w:p w14:paraId="2B816A59" w14:textId="10A4D448" w:rsidR="00C36899" w:rsidRPr="00662D5A" w:rsidRDefault="00662D5A" w:rsidP="00662D5A">
      <w:pPr>
        <w:pStyle w:val="IWAKeyword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2D5A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662D5A">
        <w:rPr>
          <w:rFonts w:ascii="Times New Roman" w:hAnsi="Times New Roman" w:cs="Times New Roman"/>
          <w:sz w:val="24"/>
          <w:szCs w:val="24"/>
          <w:lang w:val="en-US"/>
        </w:rPr>
        <w:t xml:space="preserve"> Biofouling, Desalination, Spiral-wound membrane, Molecular detection, Fluorogen-substrates</w:t>
      </w:r>
    </w:p>
    <w:sectPr w:rsidR="00C36899" w:rsidRPr="00662D5A" w:rsidSect="009E297A">
      <w:pgSz w:w="11906" w:h="16838"/>
      <w:pgMar w:top="1440" w:right="1440" w:bottom="1440" w:left="1440" w:header="144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7652A" w14:textId="77777777" w:rsidR="008C7253" w:rsidRDefault="008C7253" w:rsidP="00C02F76">
      <w:r>
        <w:separator/>
      </w:r>
    </w:p>
  </w:endnote>
  <w:endnote w:type="continuationSeparator" w:id="0">
    <w:p w14:paraId="033BCC2C" w14:textId="77777777" w:rsidR="008C7253" w:rsidRDefault="008C7253" w:rsidP="00C02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FC7C9" w14:textId="77777777" w:rsidR="008C7253" w:rsidRDefault="008C7253" w:rsidP="00C02F76">
      <w:r>
        <w:separator/>
      </w:r>
    </w:p>
  </w:footnote>
  <w:footnote w:type="continuationSeparator" w:id="0">
    <w:p w14:paraId="451E26CD" w14:textId="77777777" w:rsidR="008C7253" w:rsidRDefault="008C7253" w:rsidP="00C02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758264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A622A3"/>
    <w:multiLevelType w:val="hybridMultilevel"/>
    <w:tmpl w:val="9A5E7C3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712282"/>
    <w:multiLevelType w:val="hybridMultilevel"/>
    <w:tmpl w:val="2AEE6668"/>
    <w:lvl w:ilvl="0" w:tplc="0413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899"/>
    <w:rsid w:val="00020DCE"/>
    <w:rsid w:val="00031D97"/>
    <w:rsid w:val="00080F25"/>
    <w:rsid w:val="000B59A3"/>
    <w:rsid w:val="000E3F71"/>
    <w:rsid w:val="000E551D"/>
    <w:rsid w:val="00106920"/>
    <w:rsid w:val="00111C1B"/>
    <w:rsid w:val="00116A8F"/>
    <w:rsid w:val="00133205"/>
    <w:rsid w:val="0018352E"/>
    <w:rsid w:val="001A04C1"/>
    <w:rsid w:val="001F65BE"/>
    <w:rsid w:val="00206E41"/>
    <w:rsid w:val="0022532E"/>
    <w:rsid w:val="00250F4B"/>
    <w:rsid w:val="002635CB"/>
    <w:rsid w:val="002B7884"/>
    <w:rsid w:val="002D141A"/>
    <w:rsid w:val="002F4946"/>
    <w:rsid w:val="003368A7"/>
    <w:rsid w:val="003D0AE7"/>
    <w:rsid w:val="004433A4"/>
    <w:rsid w:val="00463BDF"/>
    <w:rsid w:val="004A3301"/>
    <w:rsid w:val="004B0F26"/>
    <w:rsid w:val="004F6E26"/>
    <w:rsid w:val="00501AA5"/>
    <w:rsid w:val="005475FB"/>
    <w:rsid w:val="00571790"/>
    <w:rsid w:val="00587E47"/>
    <w:rsid w:val="00600A2C"/>
    <w:rsid w:val="00634DBB"/>
    <w:rsid w:val="00662306"/>
    <w:rsid w:val="00662D5A"/>
    <w:rsid w:val="00690C5A"/>
    <w:rsid w:val="00697DF1"/>
    <w:rsid w:val="006B5B5E"/>
    <w:rsid w:val="00713C52"/>
    <w:rsid w:val="00790D56"/>
    <w:rsid w:val="007A1045"/>
    <w:rsid w:val="007A279C"/>
    <w:rsid w:val="007B27BF"/>
    <w:rsid w:val="007D1DD3"/>
    <w:rsid w:val="007E1B2A"/>
    <w:rsid w:val="007E6E5B"/>
    <w:rsid w:val="0082338C"/>
    <w:rsid w:val="008329E6"/>
    <w:rsid w:val="008B4FD3"/>
    <w:rsid w:val="008C7253"/>
    <w:rsid w:val="008E651A"/>
    <w:rsid w:val="00906668"/>
    <w:rsid w:val="009D306A"/>
    <w:rsid w:val="009E297A"/>
    <w:rsid w:val="00A37FF1"/>
    <w:rsid w:val="00A460BB"/>
    <w:rsid w:val="00A7117D"/>
    <w:rsid w:val="00A827A7"/>
    <w:rsid w:val="00AA0DF0"/>
    <w:rsid w:val="00AF3561"/>
    <w:rsid w:val="00B035B9"/>
    <w:rsid w:val="00B04553"/>
    <w:rsid w:val="00B0460D"/>
    <w:rsid w:val="00B87EAD"/>
    <w:rsid w:val="00BF12FE"/>
    <w:rsid w:val="00BF3C4E"/>
    <w:rsid w:val="00BF50C9"/>
    <w:rsid w:val="00C02DF5"/>
    <w:rsid w:val="00C02F76"/>
    <w:rsid w:val="00C36899"/>
    <w:rsid w:val="00CA3221"/>
    <w:rsid w:val="00CB1261"/>
    <w:rsid w:val="00CE2D1C"/>
    <w:rsid w:val="00CF0045"/>
    <w:rsid w:val="00DB45E3"/>
    <w:rsid w:val="00DD661C"/>
    <w:rsid w:val="00E5482D"/>
    <w:rsid w:val="00E5690D"/>
    <w:rsid w:val="00EA5AFC"/>
    <w:rsid w:val="00EF6360"/>
    <w:rsid w:val="00F02133"/>
    <w:rsid w:val="00F10D88"/>
    <w:rsid w:val="00F412AC"/>
    <w:rsid w:val="00F4298B"/>
    <w:rsid w:val="00F42FA4"/>
    <w:rsid w:val="00FB358C"/>
    <w:rsid w:val="00FE06C0"/>
    <w:rsid w:val="00FE4E9A"/>
    <w:rsid w:val="00FF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C9D5C6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C36899"/>
    <w:rPr>
      <w:sz w:val="24"/>
      <w:szCs w:val="24"/>
      <w:lang w:val="en-GB" w:eastAsia="de-DE"/>
    </w:rPr>
  </w:style>
  <w:style w:type="paragraph" w:styleId="Heading1">
    <w:name w:val="heading 1"/>
    <w:basedOn w:val="Normal"/>
    <w:next w:val="Normal"/>
    <w:qFormat/>
    <w:rsid w:val="00C368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WAAuthoraddress">
    <w:name w:val="(IWA) Author address"/>
    <w:basedOn w:val="Normal"/>
    <w:next w:val="IWAKeyword"/>
    <w:rsid w:val="00C36899"/>
    <w:pPr>
      <w:suppressLineNumbers/>
      <w:suppressAutoHyphens/>
      <w:overflowPunct w:val="0"/>
      <w:autoSpaceDE w:val="0"/>
      <w:autoSpaceDN w:val="0"/>
      <w:adjustRightInd w:val="0"/>
      <w:spacing w:line="220" w:lineRule="atLeast"/>
      <w:textAlignment w:val="baseline"/>
    </w:pPr>
    <w:rPr>
      <w:rFonts w:ascii="Arial" w:hAnsi="Arial" w:cs="Arial"/>
      <w:sz w:val="18"/>
      <w:szCs w:val="18"/>
      <w:lang w:eastAsia="en-US"/>
    </w:rPr>
  </w:style>
  <w:style w:type="paragraph" w:customStyle="1" w:styleId="IWAKeyword">
    <w:name w:val="(IWA) Keyword"/>
    <w:basedOn w:val="Normal"/>
    <w:next w:val="Heading1"/>
    <w:link w:val="IWAKeywordZchn"/>
    <w:rsid w:val="00C36899"/>
    <w:pPr>
      <w:suppressLineNumbers/>
      <w:suppressAutoHyphens/>
      <w:overflowPunct w:val="0"/>
      <w:autoSpaceDE w:val="0"/>
      <w:autoSpaceDN w:val="0"/>
      <w:adjustRightInd w:val="0"/>
      <w:spacing w:before="360" w:after="120" w:line="220" w:lineRule="atLeast"/>
      <w:textAlignment w:val="baseline"/>
    </w:pPr>
    <w:rPr>
      <w:rFonts w:ascii="Arial" w:hAnsi="Arial" w:cs="Arial"/>
      <w:sz w:val="18"/>
      <w:szCs w:val="18"/>
      <w:lang w:eastAsia="en-US"/>
    </w:rPr>
  </w:style>
  <w:style w:type="character" w:customStyle="1" w:styleId="IWAKeywordZchn">
    <w:name w:val="(IWA) Keyword Zchn"/>
    <w:link w:val="IWAKeyword"/>
    <w:rsid w:val="00C36899"/>
    <w:rPr>
      <w:rFonts w:ascii="Arial" w:hAnsi="Arial" w:cs="Arial"/>
      <w:sz w:val="18"/>
      <w:szCs w:val="18"/>
      <w:lang w:val="en-GB" w:eastAsia="en-US" w:bidi="ar-SA"/>
    </w:rPr>
  </w:style>
  <w:style w:type="paragraph" w:customStyle="1" w:styleId="IWAAuthornames">
    <w:name w:val="(IWA) Author name(s)"/>
    <w:basedOn w:val="Normal"/>
    <w:next w:val="IWAKeyword"/>
    <w:rsid w:val="00C36899"/>
    <w:pPr>
      <w:suppressLineNumbers/>
      <w:suppressAutoHyphens/>
      <w:overflowPunct w:val="0"/>
      <w:autoSpaceDE w:val="0"/>
      <w:autoSpaceDN w:val="0"/>
      <w:adjustRightInd w:val="0"/>
      <w:spacing w:before="360" w:after="240" w:line="240" w:lineRule="atLeast"/>
      <w:textAlignment w:val="baseline"/>
    </w:pPr>
    <w:rPr>
      <w:rFonts w:ascii="Arial" w:hAnsi="Arial" w:cs="Arial"/>
      <w:b/>
      <w:sz w:val="20"/>
      <w:szCs w:val="20"/>
      <w:lang w:eastAsia="en-US"/>
    </w:rPr>
  </w:style>
  <w:style w:type="paragraph" w:customStyle="1" w:styleId="IWAFigure">
    <w:name w:val="(IWA) Figure"/>
    <w:basedOn w:val="Normal"/>
    <w:rsid w:val="00C36899"/>
    <w:pPr>
      <w:spacing w:before="240" w:after="120"/>
      <w:jc w:val="center"/>
    </w:pPr>
    <w:rPr>
      <w:rFonts w:ascii="Arial" w:hAnsi="Arial"/>
      <w:sz w:val="22"/>
      <w:lang w:eastAsia="en-US"/>
    </w:rPr>
  </w:style>
  <w:style w:type="paragraph" w:customStyle="1" w:styleId="IWAFirstparagraph">
    <w:name w:val="(IWA) First paragraph"/>
    <w:basedOn w:val="Normal"/>
    <w:next w:val="IWANormalParagraph"/>
    <w:rsid w:val="00C36899"/>
    <w:pPr>
      <w:suppressLineNumbers/>
      <w:overflowPunct w:val="0"/>
      <w:autoSpaceDE w:val="0"/>
      <w:autoSpaceDN w:val="0"/>
      <w:adjustRightInd w:val="0"/>
      <w:spacing w:after="120" w:line="240" w:lineRule="atLeast"/>
      <w:jc w:val="both"/>
      <w:textAlignment w:val="baseline"/>
    </w:pPr>
    <w:rPr>
      <w:rFonts w:ascii="Arial" w:hAnsi="Arial" w:cs="Arial"/>
      <w:sz w:val="22"/>
      <w:szCs w:val="22"/>
      <w:lang w:eastAsia="en-US"/>
    </w:rPr>
  </w:style>
  <w:style w:type="paragraph" w:customStyle="1" w:styleId="IWANormalParagraph">
    <w:name w:val="(IWA) Normal Paragraph"/>
    <w:basedOn w:val="Normal"/>
    <w:rsid w:val="00C36899"/>
    <w:pPr>
      <w:spacing w:after="120"/>
      <w:ind w:firstLine="21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IWAPaperTitle">
    <w:name w:val="(IWA) Paper Title"/>
    <w:basedOn w:val="Normal"/>
    <w:next w:val="IWAAuthornames"/>
    <w:rsid w:val="00C36899"/>
    <w:rPr>
      <w:rFonts w:ascii="Arial" w:hAnsi="Arial" w:cs="Arial"/>
      <w:b/>
      <w:bCs/>
      <w:sz w:val="28"/>
      <w:szCs w:val="28"/>
      <w:lang w:eastAsia="en-US"/>
    </w:rPr>
  </w:style>
  <w:style w:type="paragraph" w:customStyle="1" w:styleId="IWAReferences">
    <w:name w:val="(IWA) References"/>
    <w:basedOn w:val="Normal"/>
    <w:rsid w:val="00C36899"/>
    <w:pPr>
      <w:suppressLineNumbers/>
      <w:overflowPunct w:val="0"/>
      <w:autoSpaceDE w:val="0"/>
      <w:autoSpaceDN w:val="0"/>
      <w:adjustRightInd w:val="0"/>
      <w:spacing w:before="60" w:after="60" w:line="200" w:lineRule="exact"/>
      <w:ind w:left="357" w:hanging="357"/>
      <w:jc w:val="both"/>
      <w:textAlignment w:val="baseline"/>
    </w:pPr>
    <w:rPr>
      <w:rFonts w:ascii="Arial" w:hAnsi="Arial" w:cs="Arial"/>
      <w:sz w:val="18"/>
      <w:szCs w:val="18"/>
      <w:lang w:eastAsia="en-US"/>
    </w:rPr>
  </w:style>
  <w:style w:type="paragraph" w:customStyle="1" w:styleId="IWAHeading">
    <w:name w:val="(IWA) Heading"/>
    <w:basedOn w:val="Heading1"/>
    <w:next w:val="IWAFirstparagraph"/>
    <w:rsid w:val="00C36899"/>
    <w:pPr>
      <w:suppressLineNumbers/>
      <w:tabs>
        <w:tab w:val="left" w:pos="414"/>
      </w:tabs>
      <w:overflowPunct w:val="0"/>
      <w:autoSpaceDE w:val="0"/>
      <w:autoSpaceDN w:val="0"/>
      <w:adjustRightInd w:val="0"/>
      <w:spacing w:before="320" w:after="120" w:line="320" w:lineRule="atLeast"/>
      <w:ind w:left="420" w:hanging="420"/>
      <w:textAlignment w:val="baseline"/>
    </w:pPr>
    <w:rPr>
      <w:kern w:val="28"/>
      <w:sz w:val="24"/>
      <w:szCs w:val="24"/>
      <w:lang w:eastAsia="en-US"/>
    </w:rPr>
  </w:style>
  <w:style w:type="paragraph" w:customStyle="1" w:styleId="IWATableFigureheading">
    <w:name w:val="(IWA) Table/Figure heading"/>
    <w:basedOn w:val="Normal"/>
    <w:link w:val="IWATableFigureheadingZchn"/>
    <w:rsid w:val="00C36899"/>
    <w:pPr>
      <w:keepNext/>
      <w:keepLines/>
      <w:widowControl w:val="0"/>
      <w:suppressLineNumbers/>
      <w:overflowPunct w:val="0"/>
      <w:autoSpaceDE w:val="0"/>
      <w:autoSpaceDN w:val="0"/>
      <w:adjustRightInd w:val="0"/>
      <w:spacing w:before="240" w:after="120" w:line="200" w:lineRule="exact"/>
      <w:jc w:val="both"/>
      <w:textAlignment w:val="baseline"/>
    </w:pPr>
    <w:rPr>
      <w:rFonts w:ascii="Arial" w:hAnsi="Arial"/>
      <w:bCs/>
      <w:sz w:val="18"/>
      <w:szCs w:val="20"/>
      <w:lang w:eastAsia="en-US"/>
    </w:rPr>
  </w:style>
  <w:style w:type="character" w:customStyle="1" w:styleId="IWATableFigureheadingZchn">
    <w:name w:val="(IWA) Table/Figure heading Zchn"/>
    <w:link w:val="IWATableFigureheading"/>
    <w:rsid w:val="00C36899"/>
    <w:rPr>
      <w:rFonts w:ascii="Arial" w:hAnsi="Arial"/>
      <w:bCs/>
      <w:sz w:val="18"/>
      <w:lang w:val="en-GB" w:eastAsia="en-US" w:bidi="ar-SA"/>
    </w:rPr>
  </w:style>
  <w:style w:type="paragraph" w:styleId="Header">
    <w:name w:val="header"/>
    <w:basedOn w:val="Normal"/>
    <w:link w:val="HeaderChar"/>
    <w:rsid w:val="00C02F76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C02F76"/>
    <w:rPr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rsid w:val="00C02F76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C02F76"/>
    <w:rPr>
      <w:sz w:val="24"/>
      <w:szCs w:val="24"/>
      <w:lang w:val="en-GB" w:eastAsia="de-DE"/>
    </w:rPr>
  </w:style>
  <w:style w:type="character" w:styleId="Hyperlink">
    <w:name w:val="Hyperlink"/>
    <w:basedOn w:val="DefaultParagraphFont"/>
    <w:rsid w:val="008329E6"/>
    <w:rPr>
      <w:color w:val="0563C1" w:themeColor="hyperlink"/>
      <w:u w:val="single"/>
    </w:rPr>
  </w:style>
  <w:style w:type="paragraph" w:customStyle="1" w:styleId="TEXT">
    <w:name w:val="TEXT"/>
    <w:basedOn w:val="Normal"/>
    <w:rsid w:val="008329E6"/>
    <w:pPr>
      <w:widowControl w:val="0"/>
      <w:suppressAutoHyphens/>
      <w:jc w:val="both"/>
    </w:pPr>
    <w:rPr>
      <w:sz w:val="20"/>
      <w:szCs w:val="20"/>
      <w:lang w:eastAsia="el-GR"/>
    </w:rPr>
  </w:style>
  <w:style w:type="paragraph" w:styleId="Caption">
    <w:name w:val="caption"/>
    <w:basedOn w:val="Normal"/>
    <w:next w:val="Normal"/>
    <w:unhideWhenUsed/>
    <w:qFormat/>
    <w:rsid w:val="008329E6"/>
    <w:pPr>
      <w:widowControl w:val="0"/>
      <w:autoSpaceDE w:val="0"/>
      <w:autoSpaceDN w:val="0"/>
      <w:adjustRightInd w:val="0"/>
      <w:spacing w:after="200"/>
    </w:pPr>
    <w:rPr>
      <w:rFonts w:ascii="Courier" w:hAnsi="Courier"/>
      <w:i/>
      <w:iCs/>
      <w:color w:val="1F497D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BF3C4E"/>
    <w:pPr>
      <w:spacing w:before="100" w:beforeAutospacing="1" w:after="100" w:afterAutospacing="1"/>
    </w:pPr>
    <w:rPr>
      <w:rFonts w:eastAsia="ＭＳ 明朝"/>
      <w:lang w:val="en-US" w:eastAsia="en-US"/>
    </w:rPr>
  </w:style>
  <w:style w:type="paragraph" w:styleId="BalloonText">
    <w:name w:val="Balloon Text"/>
    <w:basedOn w:val="Normal"/>
    <w:link w:val="BalloonTextChar"/>
    <w:rsid w:val="001069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06920"/>
    <w:rPr>
      <w:rFonts w:ascii="Lucida Grande" w:hAnsi="Lucida Grande" w:cs="Lucida Grande"/>
      <w:sz w:val="18"/>
      <w:szCs w:val="18"/>
      <w:lang w:val="en-GB" w:eastAsia="de-DE"/>
    </w:rPr>
  </w:style>
  <w:style w:type="character" w:styleId="CommentReference">
    <w:name w:val="annotation reference"/>
    <w:basedOn w:val="DefaultParagraphFont"/>
    <w:rsid w:val="00BF12FE"/>
    <w:rPr>
      <w:sz w:val="18"/>
      <w:szCs w:val="18"/>
    </w:rPr>
  </w:style>
  <w:style w:type="paragraph" w:styleId="CommentText">
    <w:name w:val="annotation text"/>
    <w:basedOn w:val="Normal"/>
    <w:link w:val="CommentTextChar"/>
    <w:rsid w:val="00BF12FE"/>
  </w:style>
  <w:style w:type="character" w:customStyle="1" w:styleId="CommentTextChar">
    <w:name w:val="Comment Text Char"/>
    <w:basedOn w:val="DefaultParagraphFont"/>
    <w:link w:val="CommentText"/>
    <w:rsid w:val="00BF12FE"/>
    <w:rPr>
      <w:sz w:val="24"/>
      <w:szCs w:val="24"/>
      <w:lang w:val="en-GB"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BF12F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BF12FE"/>
    <w:rPr>
      <w:b/>
      <w:bCs/>
      <w:sz w:val="24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2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abar.khan.2@kaust.edu.sa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76BC3-8999-8440-83BB-29F837D9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356</Words>
  <Characters>2035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a sample title for an outline paper submitted to LET 2012</vt:lpstr>
    </vt:vector>
  </TitlesOfParts>
  <Company>The International Water Association</Company>
  <LinksUpToDate>false</LinksUpToDate>
  <CharactersWithSpaces>2387</CharactersWithSpaces>
  <SharedDoc>false</SharedDoc>
  <HLinks>
    <vt:vector size="12" baseType="variant">
      <vt:variant>
        <vt:i4>6488153</vt:i4>
      </vt:variant>
      <vt:variant>
        <vt:i4>0</vt:i4>
      </vt:variant>
      <vt:variant>
        <vt:i4>0</vt:i4>
      </vt:variant>
      <vt:variant>
        <vt:i4>5</vt:i4>
      </vt:variant>
      <vt:variant>
        <vt:lpwstr>mailto:babar.khan.2@kaust.edu.sa</vt:lpwstr>
      </vt:variant>
      <vt:variant>
        <vt:lpwstr/>
      </vt:variant>
      <vt:variant>
        <vt:i4>524394</vt:i4>
      </vt:variant>
      <vt:variant>
        <vt:i4>7173</vt:i4>
      </vt:variant>
      <vt:variant>
        <vt:i4>1027</vt:i4>
      </vt:variant>
      <vt:variant>
        <vt:i4>1</vt:i4>
      </vt:variant>
      <vt:variant>
        <vt:lpwstr>Banner for AL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a sample title for an outline paper submitted to LET 2012</dc:title>
  <dc:subject/>
  <dc:creator>elizabethb</dc:creator>
  <cp:keywords/>
  <cp:lastModifiedBy>Babar Khan</cp:lastModifiedBy>
  <cp:revision>7</cp:revision>
  <cp:lastPrinted>2017-10-29T07:05:00Z</cp:lastPrinted>
  <dcterms:created xsi:type="dcterms:W3CDTF">2018-01-09T08:15:00Z</dcterms:created>
  <dcterms:modified xsi:type="dcterms:W3CDTF">2018-01-11T12:27:00Z</dcterms:modified>
</cp:coreProperties>
</file>