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14D57" w14:textId="59471BC4" w:rsidR="00184677" w:rsidRDefault="00184677" w:rsidP="00245F7A">
      <w:pPr>
        <w:spacing w:after="120" w:line="240" w:lineRule="auto"/>
        <w:jc w:val="center"/>
        <w:rPr>
          <w:rFonts w:ascii="Arial" w:eastAsia="Times New Roman" w:hAnsi="Arial" w:cs="Arial"/>
          <w:color w:val="000000" w:themeColor="text1"/>
          <w:sz w:val="27"/>
          <w:szCs w:val="27"/>
        </w:rPr>
      </w:pPr>
      <w:r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Transport from Low to High Concentrations Across an Ion-Exchange </w:t>
      </w:r>
      <w:bookmarkStart w:id="0" w:name="_GoBack"/>
      <w:bookmarkEnd w:id="0"/>
      <w:r>
        <w:rPr>
          <w:rFonts w:ascii="Arial" w:eastAsia="Times New Roman" w:hAnsi="Arial" w:cs="Arial"/>
          <w:color w:val="000000" w:themeColor="text1"/>
          <w:sz w:val="27"/>
          <w:szCs w:val="27"/>
        </w:rPr>
        <w:t>Membrane</w:t>
      </w:r>
    </w:p>
    <w:p w14:paraId="0D00DA33" w14:textId="77777777" w:rsidR="00184677" w:rsidRDefault="00184677" w:rsidP="00E24CF2">
      <w:pPr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7"/>
          <w:szCs w:val="27"/>
        </w:rPr>
      </w:pPr>
    </w:p>
    <w:p w14:paraId="7EEABE17" w14:textId="7A215C9C" w:rsidR="007367ED" w:rsidRPr="00166F22" w:rsidRDefault="00A63E85" w:rsidP="00E24CF2">
      <w:pPr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7"/>
          <w:szCs w:val="27"/>
        </w:rPr>
      </w:pPr>
      <w:r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This research aims to better understand ion sorption and transport through ion-exchange membranes (IEMs), particularly when transport includes both monovalent and divalent ions.  </w:t>
      </w:r>
      <w:r w:rsidR="00476A64">
        <w:rPr>
          <w:rFonts w:ascii="Arial" w:eastAsia="Times New Roman" w:hAnsi="Arial" w:cs="Arial"/>
          <w:color w:val="000000" w:themeColor="text1"/>
          <w:sz w:val="27"/>
          <w:szCs w:val="27"/>
        </w:rPr>
        <w:t>Such</w:t>
      </w:r>
      <w:r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transport through IEMs is vital in electrodialysis separations, energy generation through reverse electrodialysis, and fuel cells.  </w:t>
      </w:r>
      <w:r w:rsidR="004E24DA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>When an IEM</w:t>
      </w:r>
      <w:r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contacts </w:t>
      </w:r>
      <w:r w:rsidR="004E24DA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an electrolyte solution, </w:t>
      </w:r>
      <w:r w:rsidR="00CB012C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fixed charges </w:t>
      </w:r>
      <w:r w:rsidR="00D163E8">
        <w:rPr>
          <w:rFonts w:ascii="Arial" w:eastAsia="Times New Roman" w:hAnsi="Arial" w:cs="Arial"/>
          <w:color w:val="000000" w:themeColor="text1"/>
          <w:sz w:val="27"/>
          <w:szCs w:val="27"/>
        </w:rPr>
        <w:t>attract counter-</w:t>
      </w:r>
      <w:r w:rsidR="00CB012C">
        <w:rPr>
          <w:rFonts w:ascii="Arial" w:eastAsia="Times New Roman" w:hAnsi="Arial" w:cs="Arial"/>
          <w:color w:val="000000" w:themeColor="text1"/>
          <w:sz w:val="27"/>
          <w:szCs w:val="27"/>
        </w:rPr>
        <w:t>ions</w:t>
      </w:r>
      <w:r w:rsidR="00E24CF2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to the membrane </w:t>
      </w:r>
      <w:r w:rsidR="00CB012C">
        <w:rPr>
          <w:rFonts w:ascii="Arial" w:eastAsia="Times New Roman" w:hAnsi="Arial" w:cs="Arial"/>
          <w:color w:val="000000" w:themeColor="text1"/>
          <w:sz w:val="27"/>
          <w:szCs w:val="27"/>
        </w:rPr>
        <w:t>via</w:t>
      </w:r>
      <w:r w:rsidR="00E24CF2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Coulomb</w:t>
      </w:r>
      <w:r w:rsidR="00CB012C">
        <w:rPr>
          <w:rFonts w:ascii="Arial" w:eastAsia="Times New Roman" w:hAnsi="Arial" w:cs="Arial"/>
          <w:color w:val="000000" w:themeColor="text1"/>
          <w:sz w:val="27"/>
          <w:szCs w:val="27"/>
        </w:rPr>
        <w:t>ic</w:t>
      </w:r>
      <w:r w:rsidR="00E24CF2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forces</w:t>
      </w:r>
      <w:r w:rsidR="00391A52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. </w:t>
      </w:r>
      <w:r w:rsidR="00DC2152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However, </w:t>
      </w:r>
      <w:r w:rsidR="00CB012C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few studies focus on simultaneous </w:t>
      </w:r>
      <w:r w:rsidR="0013216F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sorption </w:t>
      </w:r>
      <w:r w:rsidR="00CB012C">
        <w:rPr>
          <w:rFonts w:ascii="Arial" w:eastAsia="Times New Roman" w:hAnsi="Arial" w:cs="Arial"/>
          <w:color w:val="000000" w:themeColor="text1"/>
          <w:sz w:val="27"/>
          <w:szCs w:val="27"/>
        </w:rPr>
        <w:t>of</w:t>
      </w:r>
      <w:r w:rsidR="0013216F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</w:t>
      </w:r>
      <w:r w:rsidR="0013216F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monovalent and divalent </w:t>
      </w:r>
      <w:r w:rsidR="0013216F">
        <w:rPr>
          <w:rFonts w:ascii="Arial" w:eastAsia="Times New Roman" w:hAnsi="Arial" w:cs="Arial"/>
          <w:color w:val="000000" w:themeColor="text1"/>
          <w:sz w:val="27"/>
          <w:szCs w:val="27"/>
        </w:rPr>
        <w:t>counter-</w:t>
      </w:r>
      <w:r w:rsidR="0013216F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ions </w:t>
      </w:r>
      <w:r w:rsidR="00CB012C">
        <w:rPr>
          <w:rFonts w:ascii="Arial" w:eastAsia="Times New Roman" w:hAnsi="Arial" w:cs="Arial"/>
          <w:color w:val="000000" w:themeColor="text1"/>
          <w:sz w:val="27"/>
          <w:szCs w:val="27"/>
        </w:rPr>
        <w:t>into an IEM</w:t>
      </w:r>
      <w:r w:rsidR="0013216F">
        <w:rPr>
          <w:rFonts w:ascii="Arial" w:eastAsia="Times New Roman" w:hAnsi="Arial" w:cs="Arial"/>
          <w:color w:val="000000" w:themeColor="text1"/>
          <w:sz w:val="27"/>
          <w:szCs w:val="27"/>
        </w:rPr>
        <w:t>, even though both type</w:t>
      </w:r>
      <w:r w:rsidR="00320BA2">
        <w:rPr>
          <w:rFonts w:ascii="Arial" w:eastAsia="Times New Roman" w:hAnsi="Arial" w:cs="Arial"/>
          <w:color w:val="000000" w:themeColor="text1"/>
          <w:sz w:val="27"/>
          <w:szCs w:val="27"/>
        </w:rPr>
        <w:t>s</w:t>
      </w:r>
      <w:r w:rsidR="0013216F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of counter-ions </w:t>
      </w:r>
      <w:r w:rsidR="00476A64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often </w:t>
      </w:r>
      <w:r w:rsidR="00CB012C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appear </w:t>
      </w:r>
      <w:r w:rsidR="0013216F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together in water treatment. </w:t>
      </w:r>
      <w:r w:rsidR="00A25F5D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This work reports </w:t>
      </w:r>
      <w:r w:rsidR="00FC0DF4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simultaneous </w:t>
      </w:r>
      <w:r w:rsidR="00A25F5D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>K</w:t>
      </w:r>
      <w:r w:rsidR="00E02630">
        <w:rPr>
          <w:rFonts w:ascii="Arial" w:eastAsia="Times New Roman" w:hAnsi="Arial" w:cs="Arial"/>
          <w:color w:val="000000" w:themeColor="text1"/>
          <w:sz w:val="27"/>
          <w:szCs w:val="27"/>
          <w:vertAlign w:val="superscript"/>
        </w:rPr>
        <w:t>+</w:t>
      </w:r>
      <w:r w:rsidR="00A25F5D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and Mg</w:t>
      </w:r>
      <w:r w:rsidR="00E02630">
        <w:rPr>
          <w:rFonts w:ascii="Arial" w:eastAsia="Times New Roman" w:hAnsi="Arial" w:cs="Arial"/>
          <w:color w:val="000000" w:themeColor="text1"/>
          <w:sz w:val="27"/>
          <w:szCs w:val="27"/>
          <w:vertAlign w:val="superscript"/>
        </w:rPr>
        <w:t>2+</w:t>
      </w:r>
      <w:r w:rsidR="00A25F5D" w:rsidRPr="00A25F5D">
        <w:rPr>
          <w:rFonts w:ascii="Arial" w:eastAsia="Times New Roman" w:hAnsi="Arial" w:cs="Arial"/>
          <w:color w:val="000000" w:themeColor="text1"/>
          <w:sz w:val="27"/>
          <w:szCs w:val="27"/>
          <w:vertAlign w:val="subscript"/>
        </w:rPr>
        <w:t xml:space="preserve"> </w:t>
      </w:r>
      <w:r w:rsidR="00600BF7">
        <w:rPr>
          <w:rFonts w:ascii="Arial" w:eastAsia="Times New Roman" w:hAnsi="Arial" w:cs="Arial"/>
          <w:color w:val="000000" w:themeColor="text1"/>
          <w:sz w:val="27"/>
          <w:szCs w:val="27"/>
        </w:rPr>
        <w:t>sorption</w:t>
      </w:r>
      <w:r w:rsidR="00A25F5D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into an </w:t>
      </w:r>
      <w:r w:rsidR="00A25F5D" w:rsidRPr="00A25F5D">
        <w:rPr>
          <w:rFonts w:ascii="Arial" w:hAnsi="Arial" w:cs="Arial"/>
          <w:color w:val="000000" w:themeColor="text1"/>
          <w:sz w:val="27"/>
          <w:szCs w:val="27"/>
        </w:rPr>
        <w:t>aliphatic polyamide Fujifilm type 1 cation exchange membrane</w:t>
      </w:r>
      <w:r w:rsidR="00A25F5D">
        <w:rPr>
          <w:rFonts w:ascii="Arial" w:hAnsi="Arial" w:cs="Arial"/>
          <w:color w:val="000000" w:themeColor="text1"/>
          <w:sz w:val="27"/>
          <w:szCs w:val="27"/>
        </w:rPr>
        <w:t xml:space="preserve"> (CEM).</w:t>
      </w:r>
      <w:r w:rsidR="001A5004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="00AD2C6A">
        <w:rPr>
          <w:rFonts w:ascii="Arial" w:hAnsi="Arial" w:cs="Arial"/>
          <w:color w:val="000000" w:themeColor="text1"/>
          <w:sz w:val="27"/>
          <w:szCs w:val="27"/>
        </w:rPr>
        <w:t xml:space="preserve">Sorption </w:t>
      </w:r>
      <w:r w:rsidR="001A5004" w:rsidRPr="00CB012C">
        <w:rPr>
          <w:rFonts w:ascii="Arial" w:hAnsi="Arial" w:cs="Arial"/>
          <w:color w:val="000000" w:themeColor="text1"/>
          <w:sz w:val="27"/>
          <w:szCs w:val="27"/>
        </w:rPr>
        <w:t xml:space="preserve">data </w:t>
      </w:r>
      <w:r w:rsidR="00CB012C">
        <w:rPr>
          <w:rFonts w:ascii="Arial" w:hAnsi="Arial" w:cs="Arial"/>
          <w:color w:val="000000" w:themeColor="text1"/>
          <w:sz w:val="27"/>
          <w:szCs w:val="27"/>
        </w:rPr>
        <w:t>qualitatively agree</w:t>
      </w:r>
      <w:r w:rsidR="001A5004">
        <w:rPr>
          <w:rFonts w:ascii="Arial" w:hAnsi="Arial" w:cs="Arial"/>
          <w:color w:val="000000" w:themeColor="text1"/>
          <w:sz w:val="27"/>
          <w:szCs w:val="27"/>
        </w:rPr>
        <w:t xml:space="preserve"> with the ideal </w:t>
      </w:r>
      <w:proofErr w:type="spellStart"/>
      <w:r w:rsidR="001A5004">
        <w:rPr>
          <w:rFonts w:ascii="Arial" w:hAnsi="Arial" w:cs="Arial"/>
          <w:color w:val="000000" w:themeColor="text1"/>
          <w:sz w:val="27"/>
          <w:szCs w:val="27"/>
        </w:rPr>
        <w:t>Donnan</w:t>
      </w:r>
      <w:proofErr w:type="spellEnd"/>
      <w:r w:rsidR="001A5004">
        <w:rPr>
          <w:rFonts w:ascii="Arial" w:hAnsi="Arial" w:cs="Arial"/>
          <w:color w:val="000000" w:themeColor="text1"/>
          <w:sz w:val="27"/>
          <w:szCs w:val="27"/>
        </w:rPr>
        <w:t xml:space="preserve"> model</w:t>
      </w:r>
      <w:r w:rsidR="00AD2C6A">
        <w:rPr>
          <w:rFonts w:ascii="Arial" w:hAnsi="Arial" w:cs="Arial"/>
          <w:color w:val="000000" w:themeColor="text1"/>
          <w:sz w:val="27"/>
          <w:szCs w:val="27"/>
        </w:rPr>
        <w:t xml:space="preserve">, which yields preferential partitioning of divalent </w:t>
      </w:r>
      <w:r w:rsidR="00D163E8">
        <w:rPr>
          <w:rFonts w:ascii="Arial" w:hAnsi="Arial" w:cs="Arial"/>
          <w:color w:val="000000" w:themeColor="text1"/>
          <w:sz w:val="27"/>
          <w:szCs w:val="27"/>
        </w:rPr>
        <w:t>cat</w:t>
      </w:r>
      <w:r w:rsidR="00AD2C6A">
        <w:rPr>
          <w:rFonts w:ascii="Arial" w:hAnsi="Arial" w:cs="Arial"/>
          <w:color w:val="000000" w:themeColor="text1"/>
          <w:sz w:val="27"/>
          <w:szCs w:val="27"/>
        </w:rPr>
        <w:t>ions into CEMs</w:t>
      </w:r>
      <w:r w:rsidR="001A5004">
        <w:rPr>
          <w:rFonts w:ascii="Arial" w:hAnsi="Arial" w:cs="Arial"/>
          <w:color w:val="000000" w:themeColor="text1"/>
          <w:sz w:val="27"/>
          <w:szCs w:val="27"/>
        </w:rPr>
        <w:t xml:space="preserve">. </w:t>
      </w:r>
      <w:r w:rsidR="00AD2C6A">
        <w:rPr>
          <w:rFonts w:ascii="Arial" w:hAnsi="Arial" w:cs="Arial"/>
          <w:color w:val="000000" w:themeColor="text1"/>
          <w:sz w:val="27"/>
          <w:szCs w:val="27"/>
        </w:rPr>
        <w:t xml:space="preserve">With equimolar </w:t>
      </w:r>
      <w:r w:rsidR="001A5004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>Mg</w:t>
      </w:r>
      <w:r w:rsidR="00AD2C6A">
        <w:rPr>
          <w:rFonts w:ascii="Arial" w:eastAsia="Times New Roman" w:hAnsi="Arial" w:cs="Arial"/>
          <w:color w:val="000000" w:themeColor="text1"/>
          <w:sz w:val="27"/>
          <w:szCs w:val="27"/>
          <w:vertAlign w:val="superscript"/>
        </w:rPr>
        <w:t>2+</w:t>
      </w:r>
      <w:r w:rsidR="00AD2C6A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and </w:t>
      </w:r>
      <w:r w:rsidR="00AD2C6A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>K</w:t>
      </w:r>
      <w:r w:rsidR="00AD2C6A">
        <w:rPr>
          <w:rFonts w:ascii="Arial" w:eastAsia="Times New Roman" w:hAnsi="Arial" w:cs="Arial"/>
          <w:color w:val="000000" w:themeColor="text1"/>
          <w:sz w:val="27"/>
          <w:szCs w:val="27"/>
          <w:vertAlign w:val="superscript"/>
        </w:rPr>
        <w:t xml:space="preserve">+ </w:t>
      </w:r>
      <w:r w:rsidR="00AD2C6A">
        <w:rPr>
          <w:rFonts w:ascii="Arial" w:eastAsia="Times New Roman" w:hAnsi="Arial" w:cs="Arial"/>
          <w:color w:val="000000" w:themeColor="text1"/>
          <w:sz w:val="27"/>
          <w:szCs w:val="27"/>
        </w:rPr>
        <w:t>in solution, the ratio of Mg</w:t>
      </w:r>
      <w:r w:rsidR="00AD2C6A" w:rsidRPr="00AD2C6A">
        <w:rPr>
          <w:rFonts w:ascii="Arial" w:eastAsia="Times New Roman" w:hAnsi="Arial" w:cs="Arial"/>
          <w:color w:val="000000" w:themeColor="text1"/>
          <w:sz w:val="27"/>
          <w:szCs w:val="27"/>
          <w:vertAlign w:val="superscript"/>
        </w:rPr>
        <w:t>2+</w:t>
      </w:r>
      <w:r w:rsidR="00AD2C6A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to K</w:t>
      </w:r>
      <w:r w:rsidR="00AD2C6A" w:rsidRPr="00AD2C6A">
        <w:rPr>
          <w:rFonts w:ascii="Arial" w:eastAsia="Times New Roman" w:hAnsi="Arial" w:cs="Arial"/>
          <w:color w:val="000000" w:themeColor="text1"/>
          <w:sz w:val="27"/>
          <w:szCs w:val="27"/>
          <w:vertAlign w:val="superscript"/>
        </w:rPr>
        <w:t>+</w:t>
      </w:r>
      <w:r w:rsidR="00AD2C6A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in the membrane increases dramatically with decreasing ionic strength</w:t>
      </w:r>
      <w:r w:rsidR="00EB54B8">
        <w:rPr>
          <w:rFonts w:ascii="Arial" w:eastAsia="Times New Roman" w:hAnsi="Arial" w:cs="Arial"/>
          <w:color w:val="000000" w:themeColor="text1"/>
          <w:sz w:val="27"/>
          <w:szCs w:val="27"/>
        </w:rPr>
        <w:t>.  Thus,</w:t>
      </w:r>
      <w:r w:rsidR="00AD2C6A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</w:t>
      </w:r>
      <w:r w:rsidR="00FC0DF4">
        <w:rPr>
          <w:rFonts w:ascii="Arial" w:eastAsia="Times New Roman" w:hAnsi="Arial" w:cs="Arial"/>
          <w:color w:val="000000" w:themeColor="text1"/>
          <w:sz w:val="27"/>
          <w:szCs w:val="27"/>
        </w:rPr>
        <w:t>Mg</w:t>
      </w:r>
      <w:r w:rsidR="00FC0DF4">
        <w:rPr>
          <w:rFonts w:ascii="Arial" w:eastAsia="Times New Roman" w:hAnsi="Arial" w:cs="Arial"/>
          <w:color w:val="000000" w:themeColor="text1"/>
          <w:sz w:val="27"/>
          <w:szCs w:val="27"/>
          <w:vertAlign w:val="superscript"/>
        </w:rPr>
        <w:t>2+</w:t>
      </w:r>
      <w:r w:rsidR="00FC0DF4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</w:t>
      </w:r>
      <w:r w:rsidR="00AD2C6A">
        <w:rPr>
          <w:rFonts w:ascii="Arial" w:eastAsia="Times New Roman" w:hAnsi="Arial" w:cs="Arial"/>
          <w:color w:val="000000" w:themeColor="text1"/>
          <w:sz w:val="27"/>
          <w:szCs w:val="27"/>
        </w:rPr>
        <w:t>becomes the dominant cation in membrane</w:t>
      </w:r>
      <w:r w:rsidR="00D163E8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s immersed in </w:t>
      </w:r>
      <w:proofErr w:type="spellStart"/>
      <w:r w:rsidR="00D163E8">
        <w:rPr>
          <w:rFonts w:ascii="Arial" w:eastAsia="Times New Roman" w:hAnsi="Arial" w:cs="Arial"/>
          <w:color w:val="000000" w:themeColor="text1"/>
          <w:sz w:val="27"/>
          <w:szCs w:val="27"/>
        </w:rPr>
        <w:t>mM</w:t>
      </w:r>
      <w:proofErr w:type="spellEnd"/>
      <w:r w:rsidR="00D163E8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solutions</w:t>
      </w:r>
      <w:r w:rsidR="00EB54B8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of </w:t>
      </w:r>
      <w:proofErr w:type="spellStart"/>
      <w:r w:rsidR="00EB54B8">
        <w:rPr>
          <w:rFonts w:ascii="Arial" w:eastAsia="Times New Roman" w:hAnsi="Arial" w:cs="Arial"/>
          <w:color w:val="000000" w:themeColor="text1"/>
          <w:sz w:val="27"/>
          <w:szCs w:val="27"/>
        </w:rPr>
        <w:t>KCl</w:t>
      </w:r>
      <w:proofErr w:type="spellEnd"/>
      <w:r w:rsidR="00EB54B8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and MgCl</w:t>
      </w:r>
      <w:r w:rsidR="00EB54B8" w:rsidRPr="00FA0685">
        <w:rPr>
          <w:rFonts w:ascii="Arial" w:eastAsia="Times New Roman" w:hAnsi="Arial" w:cs="Arial"/>
          <w:color w:val="000000" w:themeColor="text1"/>
          <w:sz w:val="27"/>
          <w:szCs w:val="27"/>
          <w:vertAlign w:val="subscript"/>
        </w:rPr>
        <w:t>2</w:t>
      </w:r>
      <w:r w:rsidR="00EB54B8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because the </w:t>
      </w:r>
      <w:proofErr w:type="spellStart"/>
      <w:r w:rsidR="00EB54B8">
        <w:rPr>
          <w:rFonts w:ascii="Arial" w:eastAsia="Times New Roman" w:hAnsi="Arial" w:cs="Arial"/>
          <w:color w:val="000000" w:themeColor="text1"/>
          <w:sz w:val="27"/>
          <w:szCs w:val="27"/>
        </w:rPr>
        <w:t>Donnan</w:t>
      </w:r>
      <w:proofErr w:type="spellEnd"/>
      <w:r w:rsidR="00EB54B8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potential at the membrane-solution interface is highest at low ionic strength.</w:t>
      </w:r>
      <w:r w:rsidR="00122A59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</w:t>
      </w:r>
      <w:r w:rsidR="00184677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Remarkably, </w:t>
      </w:r>
      <w:r w:rsidR="00EB54B8">
        <w:rPr>
          <w:rFonts w:ascii="Arial" w:eastAsia="Times New Roman" w:hAnsi="Arial" w:cs="Arial"/>
          <w:color w:val="000000" w:themeColor="text1"/>
          <w:sz w:val="27"/>
          <w:szCs w:val="27"/>
        </w:rPr>
        <w:t>in simple diffusion experiments</w:t>
      </w:r>
      <w:r w:rsidR="003342EF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with </w:t>
      </w:r>
      <w:r w:rsidR="00FA0685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equimolar </w:t>
      </w:r>
      <w:proofErr w:type="spellStart"/>
      <w:r w:rsidR="00FA0685">
        <w:rPr>
          <w:rFonts w:ascii="Arial" w:eastAsia="Times New Roman" w:hAnsi="Arial" w:cs="Arial"/>
          <w:color w:val="000000" w:themeColor="text1"/>
          <w:sz w:val="27"/>
          <w:szCs w:val="27"/>
        </w:rPr>
        <w:t>KCl</w:t>
      </w:r>
      <w:proofErr w:type="spellEnd"/>
      <w:r w:rsidR="00FA0685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and MgCl</w:t>
      </w:r>
      <w:r w:rsidR="00FA0685" w:rsidRPr="00FA0685">
        <w:rPr>
          <w:rFonts w:ascii="Arial" w:eastAsia="Times New Roman" w:hAnsi="Arial" w:cs="Arial"/>
          <w:color w:val="000000" w:themeColor="text1"/>
          <w:sz w:val="27"/>
          <w:szCs w:val="27"/>
          <w:vertAlign w:val="subscript"/>
        </w:rPr>
        <w:t>2</w:t>
      </w:r>
      <w:r w:rsidR="003342EF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on both sides of the membrane</w:t>
      </w:r>
      <w:r w:rsidR="00FA0685">
        <w:rPr>
          <w:rFonts w:ascii="Arial" w:eastAsia="Times New Roman" w:hAnsi="Arial" w:cs="Arial"/>
          <w:color w:val="000000" w:themeColor="text1"/>
          <w:sz w:val="27"/>
          <w:szCs w:val="27"/>
        </w:rPr>
        <w:t>,</w:t>
      </w:r>
      <w:r w:rsidR="00EB54B8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</w:t>
      </w:r>
      <w:r w:rsidR="00B73F6A">
        <w:rPr>
          <w:rFonts w:ascii="Arial" w:eastAsia="Times New Roman" w:hAnsi="Arial" w:cs="Arial"/>
          <w:color w:val="000000" w:themeColor="text1"/>
          <w:sz w:val="27"/>
          <w:szCs w:val="27"/>
        </w:rPr>
        <w:t>differences</w:t>
      </w:r>
      <w:r w:rsidR="00184677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in </w:t>
      </w:r>
      <w:r w:rsidR="00FA0685">
        <w:rPr>
          <w:rFonts w:ascii="Arial" w:eastAsia="Times New Roman" w:hAnsi="Arial" w:cs="Arial"/>
          <w:color w:val="000000" w:themeColor="text1"/>
          <w:sz w:val="27"/>
          <w:szCs w:val="27"/>
        </w:rPr>
        <w:t>Mg</w:t>
      </w:r>
      <w:r w:rsidR="00FA0685" w:rsidRPr="00FA0685">
        <w:rPr>
          <w:rFonts w:ascii="Arial" w:eastAsia="Times New Roman" w:hAnsi="Arial" w:cs="Arial"/>
          <w:color w:val="000000" w:themeColor="text1"/>
          <w:sz w:val="27"/>
          <w:szCs w:val="27"/>
          <w:vertAlign w:val="superscript"/>
        </w:rPr>
        <w:t>2+</w:t>
      </w:r>
      <w:r w:rsidR="00FA0685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partitioning</w:t>
      </w:r>
      <w:r w:rsidR="00B73F6A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at the two membrane-solution interfaces </w:t>
      </w:r>
      <w:r w:rsidR="00184677">
        <w:rPr>
          <w:rFonts w:ascii="Arial" w:eastAsia="Times New Roman" w:hAnsi="Arial" w:cs="Arial"/>
          <w:color w:val="000000" w:themeColor="text1"/>
          <w:sz w:val="27"/>
          <w:szCs w:val="27"/>
        </w:rPr>
        <w:t>lead to</w:t>
      </w:r>
      <w:r w:rsidR="00DC2152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</w:t>
      </w:r>
      <w:r w:rsidR="003F6172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transmembrane </w:t>
      </w:r>
      <w:r w:rsidR="001A5004" w:rsidRPr="00A25F5D">
        <w:rPr>
          <w:rFonts w:ascii="Arial" w:eastAsia="Times New Roman" w:hAnsi="Arial" w:cs="Arial"/>
          <w:color w:val="000000" w:themeColor="text1"/>
          <w:sz w:val="27"/>
          <w:szCs w:val="27"/>
        </w:rPr>
        <w:t>Mg</w:t>
      </w:r>
      <w:r w:rsidR="001A5004">
        <w:rPr>
          <w:rFonts w:ascii="Arial" w:eastAsia="Times New Roman" w:hAnsi="Arial" w:cs="Arial"/>
          <w:color w:val="000000" w:themeColor="text1"/>
          <w:sz w:val="27"/>
          <w:szCs w:val="27"/>
          <w:vertAlign w:val="superscript"/>
        </w:rPr>
        <w:t xml:space="preserve">2+ </w:t>
      </w:r>
      <w:r w:rsidR="001A5004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transport </w:t>
      </w:r>
      <w:r w:rsidR="00184677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from a low-concentration phase </w:t>
      </w:r>
      <w:r w:rsidR="00D163E8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(0.1 </w:t>
      </w:r>
      <w:proofErr w:type="spellStart"/>
      <w:r w:rsidR="00D163E8">
        <w:rPr>
          <w:rFonts w:ascii="Arial" w:eastAsia="Times New Roman" w:hAnsi="Arial" w:cs="Arial"/>
          <w:color w:val="000000" w:themeColor="text1"/>
          <w:sz w:val="27"/>
          <w:szCs w:val="27"/>
        </w:rPr>
        <w:t>mM</w:t>
      </w:r>
      <w:proofErr w:type="spellEnd"/>
      <w:r w:rsidR="00D163E8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</w:t>
      </w:r>
      <w:r w:rsidR="00FA0685">
        <w:rPr>
          <w:rFonts w:ascii="Arial" w:eastAsia="Times New Roman" w:hAnsi="Arial" w:cs="Arial"/>
          <w:color w:val="000000" w:themeColor="text1"/>
          <w:sz w:val="27"/>
          <w:szCs w:val="27"/>
        </w:rPr>
        <w:t>salts</w:t>
      </w:r>
      <w:r w:rsidR="00D163E8">
        <w:rPr>
          <w:rFonts w:ascii="Arial" w:eastAsia="Times New Roman" w:hAnsi="Arial" w:cs="Arial"/>
          <w:color w:val="000000" w:themeColor="text1"/>
          <w:sz w:val="27"/>
          <w:szCs w:val="27"/>
        </w:rPr>
        <w:t>)</w:t>
      </w:r>
      <w:r w:rsidR="00476A64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</w:t>
      </w:r>
      <w:r w:rsidR="00184677">
        <w:rPr>
          <w:rFonts w:ascii="Arial" w:eastAsia="Times New Roman" w:hAnsi="Arial" w:cs="Arial"/>
          <w:color w:val="000000" w:themeColor="text1"/>
          <w:sz w:val="27"/>
          <w:szCs w:val="27"/>
        </w:rPr>
        <w:t>to a high-concentration phase</w:t>
      </w:r>
      <w:r w:rsidR="00476A64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(0.1 M </w:t>
      </w:r>
      <w:r w:rsidR="00FA0685">
        <w:rPr>
          <w:rFonts w:ascii="Arial" w:eastAsia="Times New Roman" w:hAnsi="Arial" w:cs="Arial"/>
          <w:color w:val="000000" w:themeColor="text1"/>
          <w:sz w:val="27"/>
          <w:szCs w:val="27"/>
        </w:rPr>
        <w:t>salts</w:t>
      </w:r>
      <w:r w:rsidR="00476A64">
        <w:rPr>
          <w:rFonts w:ascii="Arial" w:eastAsia="Times New Roman" w:hAnsi="Arial" w:cs="Arial"/>
          <w:color w:val="000000" w:themeColor="text1"/>
          <w:sz w:val="27"/>
          <w:szCs w:val="27"/>
        </w:rPr>
        <w:t>)</w:t>
      </w:r>
      <w:r w:rsidR="00B73F6A">
        <w:rPr>
          <w:rFonts w:ascii="Arial" w:eastAsia="Times New Roman" w:hAnsi="Arial" w:cs="Arial"/>
          <w:color w:val="000000" w:themeColor="text1"/>
          <w:sz w:val="27"/>
          <w:szCs w:val="27"/>
        </w:rPr>
        <w:t>.  In contrast, the monovalent</w:t>
      </w:r>
      <w:r w:rsidR="00184677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</w:t>
      </w:r>
      <w:r w:rsidR="001A5004">
        <w:rPr>
          <w:rFonts w:ascii="Arial" w:eastAsia="Times New Roman" w:hAnsi="Arial" w:cs="Arial"/>
          <w:color w:val="000000" w:themeColor="text1"/>
          <w:sz w:val="27"/>
          <w:szCs w:val="27"/>
        </w:rPr>
        <w:t>K</w:t>
      </w:r>
      <w:r w:rsidR="001A5004">
        <w:rPr>
          <w:rFonts w:ascii="Arial" w:eastAsia="Times New Roman" w:hAnsi="Arial" w:cs="Arial"/>
          <w:color w:val="000000" w:themeColor="text1"/>
          <w:sz w:val="27"/>
          <w:szCs w:val="27"/>
          <w:vertAlign w:val="superscript"/>
        </w:rPr>
        <w:t>+</w:t>
      </w:r>
      <w:r w:rsidR="00320BA2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ions</w:t>
      </w:r>
      <w:r w:rsidR="001A5004" w:rsidRPr="00184677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 </w:t>
      </w:r>
      <w:r w:rsidR="00184677" w:rsidRPr="00184677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move in the opposite </w:t>
      </w:r>
      <w:r w:rsidR="00184677">
        <w:rPr>
          <w:rFonts w:ascii="Arial" w:eastAsia="Times New Roman" w:hAnsi="Arial" w:cs="Arial"/>
          <w:color w:val="000000" w:themeColor="text1"/>
          <w:sz w:val="27"/>
          <w:szCs w:val="27"/>
        </w:rPr>
        <w:t xml:space="preserve">direction. </w:t>
      </w:r>
    </w:p>
    <w:p w14:paraId="11DB3778" w14:textId="0F7EE858" w:rsidR="000533DE" w:rsidRPr="00A25F5D" w:rsidRDefault="000533DE" w:rsidP="000533DE">
      <w:pPr>
        <w:spacing w:after="120" w:line="240" w:lineRule="auto"/>
        <w:rPr>
          <w:rFonts w:ascii="Arial" w:eastAsia="Times New Roman" w:hAnsi="Arial" w:cs="Arial"/>
          <w:color w:val="000000" w:themeColor="text1"/>
          <w:sz w:val="27"/>
          <w:szCs w:val="27"/>
        </w:rPr>
      </w:pPr>
    </w:p>
    <w:sectPr w:rsidR="000533DE" w:rsidRPr="00A25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87D"/>
    <w:rsid w:val="00007F60"/>
    <w:rsid w:val="000533DE"/>
    <w:rsid w:val="00122A59"/>
    <w:rsid w:val="001243BD"/>
    <w:rsid w:val="0013216F"/>
    <w:rsid w:val="00166F22"/>
    <w:rsid w:val="00184677"/>
    <w:rsid w:val="001A5004"/>
    <w:rsid w:val="00245F7A"/>
    <w:rsid w:val="00283B24"/>
    <w:rsid w:val="00320BA2"/>
    <w:rsid w:val="00324950"/>
    <w:rsid w:val="003342EF"/>
    <w:rsid w:val="00391A52"/>
    <w:rsid w:val="003F6172"/>
    <w:rsid w:val="00476A64"/>
    <w:rsid w:val="004A12D6"/>
    <w:rsid w:val="004E24DA"/>
    <w:rsid w:val="005B14AB"/>
    <w:rsid w:val="00600BF7"/>
    <w:rsid w:val="00667B2B"/>
    <w:rsid w:val="006A78A9"/>
    <w:rsid w:val="007367ED"/>
    <w:rsid w:val="009A4F16"/>
    <w:rsid w:val="009F7E3C"/>
    <w:rsid w:val="00A25F5D"/>
    <w:rsid w:val="00A50509"/>
    <w:rsid w:val="00A63E85"/>
    <w:rsid w:val="00A80532"/>
    <w:rsid w:val="00AD2C6A"/>
    <w:rsid w:val="00B44C82"/>
    <w:rsid w:val="00B73F6A"/>
    <w:rsid w:val="00BD7DA5"/>
    <w:rsid w:val="00C7087D"/>
    <w:rsid w:val="00CB012C"/>
    <w:rsid w:val="00D163E8"/>
    <w:rsid w:val="00DC2152"/>
    <w:rsid w:val="00E02630"/>
    <w:rsid w:val="00E24CF2"/>
    <w:rsid w:val="00E3688C"/>
    <w:rsid w:val="00E45557"/>
    <w:rsid w:val="00EB54B8"/>
    <w:rsid w:val="00F446BD"/>
    <w:rsid w:val="00F55554"/>
    <w:rsid w:val="00FA0685"/>
    <w:rsid w:val="00FC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6797E"/>
  <w15:docId w15:val="{EE43777D-3440-492F-A264-CEC4541E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533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533D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53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4B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505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05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05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0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05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413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633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Bruening</dc:creator>
  <cp:lastModifiedBy>Chao</cp:lastModifiedBy>
  <cp:revision>3</cp:revision>
  <dcterms:created xsi:type="dcterms:W3CDTF">2018-03-14T18:24:00Z</dcterms:created>
  <dcterms:modified xsi:type="dcterms:W3CDTF">2018-03-14T18:25:00Z</dcterms:modified>
</cp:coreProperties>
</file>