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02E2" w:rsidRDefault="006802E2" w:rsidP="006802E2">
      <w:pPr>
        <w:spacing w:line="276" w:lineRule="auto"/>
        <w:jc w:val="center"/>
        <w:rPr>
          <w:rFonts w:asciiTheme="majorBidi" w:eastAsiaTheme="majorEastAsia" w:hAnsiTheme="majorBidi" w:cstheme="majorBidi"/>
          <w:b/>
          <w:bCs/>
          <w:spacing w:val="-10"/>
          <w:kern w:val="28"/>
          <w:sz w:val="32"/>
          <w:szCs w:val="32"/>
        </w:rPr>
      </w:pPr>
      <w:r>
        <w:rPr>
          <w:rFonts w:asciiTheme="majorBidi" w:eastAsiaTheme="majorEastAsia" w:hAnsiTheme="majorBidi" w:cstheme="majorBidi"/>
          <w:b/>
          <w:bCs/>
          <w:spacing w:val="-10"/>
          <w:kern w:val="28"/>
          <w:sz w:val="32"/>
          <w:szCs w:val="32"/>
        </w:rPr>
        <w:t>Influences of support layer deformation on the intrinsic resistance of</w:t>
      </w:r>
      <w:r w:rsidRPr="007A6220">
        <w:rPr>
          <w:rFonts w:asciiTheme="majorBidi" w:eastAsiaTheme="majorEastAsia" w:hAnsiTheme="majorBidi" w:cstheme="majorBidi"/>
          <w:b/>
          <w:bCs/>
          <w:spacing w:val="-10"/>
          <w:kern w:val="28"/>
          <w:sz w:val="32"/>
          <w:szCs w:val="32"/>
        </w:rPr>
        <w:t xml:space="preserve"> </w:t>
      </w:r>
      <w:r>
        <w:rPr>
          <w:rFonts w:asciiTheme="majorBidi" w:eastAsiaTheme="majorEastAsia" w:hAnsiTheme="majorBidi" w:cstheme="majorBidi"/>
          <w:b/>
          <w:bCs/>
          <w:spacing w:val="-10"/>
          <w:kern w:val="28"/>
          <w:sz w:val="32"/>
          <w:szCs w:val="32"/>
        </w:rPr>
        <w:t xml:space="preserve">thin film composite </w:t>
      </w:r>
      <w:r w:rsidRPr="007A6220">
        <w:rPr>
          <w:rFonts w:asciiTheme="majorBidi" w:eastAsiaTheme="majorEastAsia" w:hAnsiTheme="majorBidi" w:cstheme="majorBidi"/>
          <w:b/>
          <w:bCs/>
          <w:spacing w:val="-10"/>
          <w:kern w:val="28"/>
          <w:sz w:val="32"/>
          <w:szCs w:val="32"/>
        </w:rPr>
        <w:t>membranes</w:t>
      </w:r>
    </w:p>
    <w:p w:rsidR="006802E2" w:rsidRPr="0091185D" w:rsidRDefault="006802E2" w:rsidP="006802E2">
      <w:pPr>
        <w:spacing w:after="0" w:line="240" w:lineRule="auto"/>
        <w:jc w:val="center"/>
        <w:rPr>
          <w:rFonts w:eastAsia="SimSun" w:cs="Times New Roman"/>
          <w:color w:val="000000" w:themeColor="text1"/>
          <w:szCs w:val="24"/>
        </w:rPr>
      </w:pPr>
      <w:r w:rsidRPr="0091185D">
        <w:rPr>
          <w:rFonts w:eastAsia="SimSun" w:cs="Times New Roman"/>
          <w:color w:val="000000" w:themeColor="text1"/>
          <w:szCs w:val="24"/>
        </w:rPr>
        <w:t>Masoud Aghajani</w:t>
      </w:r>
      <w:proofErr w:type="gramStart"/>
      <w:r w:rsidRPr="0091185D">
        <w:rPr>
          <w:rFonts w:eastAsia="SimSun" w:cs="Times New Roman"/>
          <w:color w:val="000000" w:themeColor="text1"/>
          <w:szCs w:val="24"/>
        </w:rPr>
        <w:t>,</w:t>
      </w:r>
      <w:r w:rsidRPr="0091185D">
        <w:rPr>
          <w:rFonts w:eastAsia="SimSun" w:cs="Times New Roman"/>
          <w:color w:val="000000" w:themeColor="text1"/>
          <w:szCs w:val="24"/>
          <w:vertAlign w:val="superscript"/>
        </w:rPr>
        <w:t>1</w:t>
      </w:r>
      <w:proofErr w:type="gramEnd"/>
      <w:r w:rsidRPr="0091185D">
        <w:rPr>
          <w:rFonts w:eastAsia="SimSun" w:cs="Times New Roman"/>
          <w:color w:val="000000" w:themeColor="text1"/>
          <w:szCs w:val="24"/>
        </w:rPr>
        <w:t xml:space="preserve"> </w:t>
      </w:r>
      <w:r>
        <w:rPr>
          <w:rFonts w:eastAsia="SimSun" w:cs="Times New Roman"/>
          <w:color w:val="000000" w:themeColor="text1"/>
          <w:szCs w:val="24"/>
        </w:rPr>
        <w:t>Lewis M. Cox</w:t>
      </w:r>
      <w:r w:rsidRPr="0091185D">
        <w:rPr>
          <w:rFonts w:eastAsia="SimSun" w:cs="Times New Roman"/>
          <w:color w:val="000000" w:themeColor="text1"/>
          <w:szCs w:val="24"/>
        </w:rPr>
        <w:t>,</w:t>
      </w:r>
      <w:r>
        <w:rPr>
          <w:rFonts w:eastAsia="SimSun" w:cs="Times New Roman"/>
          <w:color w:val="000000" w:themeColor="text1"/>
          <w:szCs w:val="24"/>
          <w:vertAlign w:val="superscript"/>
        </w:rPr>
        <w:t>2</w:t>
      </w:r>
      <w:r w:rsidRPr="0091185D">
        <w:rPr>
          <w:rFonts w:eastAsia="SimSun" w:cs="Times New Roman"/>
          <w:color w:val="000000" w:themeColor="text1"/>
          <w:szCs w:val="24"/>
        </w:rPr>
        <w:t xml:space="preserve"> Jason P. Killgore,</w:t>
      </w:r>
      <w:r>
        <w:rPr>
          <w:rFonts w:eastAsia="SimSun" w:cs="Times New Roman"/>
          <w:color w:val="000000" w:themeColor="text1"/>
          <w:szCs w:val="24"/>
          <w:vertAlign w:val="superscript"/>
        </w:rPr>
        <w:t>2</w:t>
      </w:r>
      <w:r w:rsidRPr="0091185D">
        <w:rPr>
          <w:rFonts w:eastAsia="SimSun" w:cs="Times New Roman"/>
          <w:color w:val="000000" w:themeColor="text1"/>
          <w:szCs w:val="24"/>
        </w:rPr>
        <w:t xml:space="preserve"> </w:t>
      </w:r>
      <w:proofErr w:type="spellStart"/>
      <w:r w:rsidRPr="0091185D">
        <w:rPr>
          <w:rFonts w:eastAsia="SimSun" w:cs="Times New Roman"/>
          <w:color w:val="000000" w:themeColor="text1"/>
          <w:szCs w:val="24"/>
        </w:rPr>
        <w:t>Mengyuan</w:t>
      </w:r>
      <w:proofErr w:type="spellEnd"/>
      <w:r w:rsidRPr="0091185D">
        <w:rPr>
          <w:rFonts w:eastAsia="SimSun" w:cs="Times New Roman"/>
          <w:color w:val="000000" w:themeColor="text1"/>
          <w:szCs w:val="24"/>
        </w:rPr>
        <w:t xml:space="preserve"> Wang,</w:t>
      </w:r>
      <w:r>
        <w:rPr>
          <w:rFonts w:eastAsia="SimSun" w:cs="Times New Roman"/>
          <w:color w:val="000000" w:themeColor="text1"/>
          <w:szCs w:val="24"/>
          <w:vertAlign w:val="superscript"/>
        </w:rPr>
        <w:t>3</w:t>
      </w:r>
      <w:r w:rsidRPr="0091185D">
        <w:rPr>
          <w:rFonts w:eastAsia="SimSun" w:cs="Times New Roman"/>
          <w:color w:val="000000" w:themeColor="text1"/>
          <w:szCs w:val="24"/>
        </w:rPr>
        <w:t xml:space="preserve"> Alan </w:t>
      </w:r>
      <w:r>
        <w:rPr>
          <w:rFonts w:eastAsia="SimSun" w:cs="Times New Roman"/>
          <w:color w:val="000000" w:themeColor="text1"/>
          <w:szCs w:val="24"/>
        </w:rPr>
        <w:t xml:space="preserve">R. </w:t>
      </w:r>
      <w:r w:rsidRPr="0091185D">
        <w:rPr>
          <w:rFonts w:eastAsia="SimSun" w:cs="Times New Roman"/>
          <w:color w:val="000000" w:themeColor="text1"/>
          <w:szCs w:val="24"/>
        </w:rPr>
        <w:t>Greenberg,</w:t>
      </w:r>
      <w:r w:rsidRPr="0091185D">
        <w:rPr>
          <w:rFonts w:eastAsia="SimSun" w:cs="Times New Roman"/>
          <w:color w:val="000000" w:themeColor="text1"/>
          <w:szCs w:val="24"/>
          <w:vertAlign w:val="superscript"/>
        </w:rPr>
        <w:t>1</w:t>
      </w:r>
      <w:r w:rsidRPr="0091185D">
        <w:rPr>
          <w:rFonts w:eastAsia="SimSun" w:cs="Times New Roman"/>
          <w:color w:val="000000" w:themeColor="text1"/>
          <w:szCs w:val="24"/>
        </w:rPr>
        <w:t xml:space="preserve"> and </w:t>
      </w:r>
      <w:proofErr w:type="spellStart"/>
      <w:r w:rsidRPr="0091185D">
        <w:rPr>
          <w:rFonts w:eastAsia="SimSun" w:cs="Times New Roman"/>
          <w:color w:val="000000" w:themeColor="text1"/>
          <w:szCs w:val="24"/>
        </w:rPr>
        <w:t>Yifu</w:t>
      </w:r>
      <w:proofErr w:type="spellEnd"/>
      <w:r w:rsidRPr="0091185D">
        <w:rPr>
          <w:rFonts w:eastAsia="SimSun" w:cs="Times New Roman"/>
          <w:color w:val="000000" w:themeColor="text1"/>
          <w:szCs w:val="24"/>
        </w:rPr>
        <w:t xml:space="preserve"> Ding</w:t>
      </w:r>
      <w:r>
        <w:rPr>
          <w:rFonts w:eastAsia="SimSun" w:cs="Times New Roman"/>
          <w:color w:val="000000" w:themeColor="text1"/>
          <w:szCs w:val="24"/>
          <w:vertAlign w:val="superscript"/>
        </w:rPr>
        <w:t>1,3</w:t>
      </w:r>
    </w:p>
    <w:p w:rsidR="006802E2" w:rsidRPr="0091185D" w:rsidRDefault="006802E2" w:rsidP="006802E2">
      <w:pPr>
        <w:autoSpaceDE w:val="0"/>
        <w:autoSpaceDN w:val="0"/>
        <w:adjustRightInd w:val="0"/>
        <w:spacing w:after="0" w:line="240" w:lineRule="auto"/>
        <w:jc w:val="center"/>
        <w:rPr>
          <w:rFonts w:eastAsia="Gulim" w:cs="Times New Roman"/>
          <w:bCs/>
          <w:i/>
          <w:color w:val="000000" w:themeColor="text1"/>
          <w:vertAlign w:val="superscript"/>
        </w:rPr>
      </w:pPr>
      <w:bookmarkStart w:id="0" w:name="OLE_LINK23"/>
      <w:bookmarkStart w:id="1" w:name="OLE_LINK24"/>
    </w:p>
    <w:p w:rsidR="006802E2" w:rsidRPr="0091185D" w:rsidRDefault="006802E2" w:rsidP="006802E2">
      <w:pPr>
        <w:autoSpaceDE w:val="0"/>
        <w:autoSpaceDN w:val="0"/>
        <w:adjustRightInd w:val="0"/>
        <w:spacing w:after="0" w:line="240" w:lineRule="auto"/>
        <w:jc w:val="center"/>
        <w:rPr>
          <w:rFonts w:eastAsia="Gulim" w:cs="Times New Roman"/>
          <w:bCs/>
          <w:i/>
          <w:color w:val="000000" w:themeColor="text1"/>
          <w:sz w:val="22"/>
          <w:lang w:val="en-GB"/>
        </w:rPr>
      </w:pPr>
      <w:r w:rsidRPr="0091185D">
        <w:rPr>
          <w:rFonts w:eastAsia="Gulim" w:cs="Times New Roman"/>
          <w:bCs/>
          <w:i/>
          <w:color w:val="000000" w:themeColor="text1"/>
          <w:sz w:val="22"/>
          <w:vertAlign w:val="superscript"/>
          <w:lang w:val="en-GB"/>
        </w:rPr>
        <w:t>1</w:t>
      </w:r>
      <w:r w:rsidRPr="0091185D">
        <w:rPr>
          <w:rFonts w:eastAsia="Gulim" w:cs="Times New Roman"/>
          <w:bCs/>
          <w:i/>
          <w:color w:val="000000" w:themeColor="text1"/>
          <w:sz w:val="22"/>
          <w:lang w:val="en-GB"/>
        </w:rPr>
        <w:t xml:space="preserve"> Membrane Science, Engineering and Technology </w:t>
      </w:r>
      <w:proofErr w:type="spellStart"/>
      <w:r w:rsidRPr="0091185D">
        <w:rPr>
          <w:rFonts w:eastAsia="Gulim" w:cs="Times New Roman"/>
          <w:bCs/>
          <w:i/>
          <w:color w:val="000000" w:themeColor="text1"/>
          <w:sz w:val="22"/>
          <w:lang w:val="en-GB"/>
        </w:rPr>
        <w:t>Center</w:t>
      </w:r>
      <w:proofErr w:type="spellEnd"/>
    </w:p>
    <w:p w:rsidR="006802E2" w:rsidRPr="0091185D" w:rsidRDefault="006802E2" w:rsidP="006802E2">
      <w:pPr>
        <w:autoSpaceDE w:val="0"/>
        <w:autoSpaceDN w:val="0"/>
        <w:adjustRightInd w:val="0"/>
        <w:spacing w:after="0" w:line="240" w:lineRule="auto"/>
        <w:jc w:val="center"/>
        <w:rPr>
          <w:rFonts w:eastAsia="Gulim" w:cs="Times New Roman"/>
          <w:bCs/>
          <w:i/>
          <w:color w:val="000000" w:themeColor="text1"/>
          <w:sz w:val="22"/>
          <w:lang w:val="en-GB"/>
        </w:rPr>
      </w:pPr>
      <w:r w:rsidRPr="0091185D">
        <w:rPr>
          <w:rFonts w:eastAsia="Gulim" w:cs="Times New Roman"/>
          <w:bCs/>
          <w:i/>
          <w:color w:val="000000" w:themeColor="text1"/>
          <w:sz w:val="22"/>
          <w:lang w:val="en-GB"/>
        </w:rPr>
        <w:t>Department of Mechanical Engineering</w:t>
      </w:r>
    </w:p>
    <w:p w:rsidR="006802E2" w:rsidRPr="0091185D" w:rsidRDefault="006802E2" w:rsidP="006802E2">
      <w:pPr>
        <w:snapToGrid w:val="0"/>
        <w:spacing w:after="0" w:line="240" w:lineRule="auto"/>
        <w:ind w:left="400"/>
        <w:jc w:val="center"/>
        <w:rPr>
          <w:rFonts w:eastAsia="Gulim" w:cs="Times New Roman"/>
          <w:bCs/>
          <w:i/>
          <w:color w:val="000000" w:themeColor="text1"/>
          <w:sz w:val="22"/>
          <w:lang w:val="en-GB"/>
        </w:rPr>
      </w:pPr>
      <w:r w:rsidRPr="0091185D">
        <w:rPr>
          <w:rFonts w:eastAsia="Gulim" w:cs="Times New Roman"/>
          <w:bCs/>
          <w:i/>
          <w:color w:val="000000" w:themeColor="text1"/>
          <w:sz w:val="22"/>
          <w:lang w:val="en-GB"/>
        </w:rPr>
        <w:t>University of Colorado Boulder, Boulder, CO 80309-0427, USA</w:t>
      </w:r>
      <w:bookmarkEnd w:id="0"/>
      <w:bookmarkEnd w:id="1"/>
    </w:p>
    <w:p w:rsidR="006802E2" w:rsidRPr="0091185D" w:rsidRDefault="006802E2" w:rsidP="006802E2">
      <w:pPr>
        <w:snapToGrid w:val="0"/>
        <w:spacing w:after="0" w:line="240" w:lineRule="auto"/>
        <w:ind w:left="400"/>
        <w:jc w:val="center"/>
        <w:rPr>
          <w:rFonts w:eastAsia="Gulim" w:cs="Times New Roman"/>
          <w:bCs/>
          <w:i/>
          <w:color w:val="000000" w:themeColor="text1"/>
          <w:sz w:val="22"/>
          <w:lang w:val="en-GB"/>
        </w:rPr>
      </w:pPr>
    </w:p>
    <w:p w:rsidR="006802E2" w:rsidRDefault="006802E2" w:rsidP="006802E2">
      <w:pPr>
        <w:spacing w:after="0" w:line="240" w:lineRule="auto"/>
        <w:jc w:val="center"/>
        <w:rPr>
          <w:rFonts w:eastAsia="SimSun" w:cs="Times New Roman"/>
          <w:i/>
          <w:color w:val="000000" w:themeColor="text1"/>
          <w:sz w:val="22"/>
        </w:rPr>
      </w:pPr>
      <w:r w:rsidRPr="0091185D">
        <w:rPr>
          <w:rFonts w:eastAsia="Gulim" w:cs="Times New Roman"/>
          <w:bCs/>
          <w:i/>
          <w:color w:val="000000" w:themeColor="text1"/>
          <w:sz w:val="22"/>
          <w:vertAlign w:val="superscript"/>
          <w:lang w:val="en-GB"/>
        </w:rPr>
        <w:t>2</w:t>
      </w:r>
      <w:r w:rsidRPr="0091185D">
        <w:rPr>
          <w:rFonts w:eastAsia="Gulim" w:cs="Times New Roman"/>
          <w:bCs/>
          <w:i/>
          <w:color w:val="000000" w:themeColor="text1"/>
          <w:sz w:val="22"/>
          <w:lang w:val="en-GB"/>
        </w:rPr>
        <w:t xml:space="preserve"> </w:t>
      </w:r>
      <w:r w:rsidRPr="0091185D">
        <w:rPr>
          <w:rFonts w:eastAsia="SimSun" w:cs="Times New Roman"/>
          <w:i/>
          <w:color w:val="000000" w:themeColor="text1"/>
          <w:sz w:val="22"/>
        </w:rPr>
        <w:t>Applied Ch</w:t>
      </w:r>
      <w:r>
        <w:rPr>
          <w:rFonts w:eastAsia="SimSun" w:cs="Times New Roman"/>
          <w:i/>
          <w:color w:val="000000" w:themeColor="text1"/>
          <w:sz w:val="22"/>
        </w:rPr>
        <w:t>emicals and Materials Division</w:t>
      </w:r>
    </w:p>
    <w:p w:rsidR="006802E2" w:rsidRDefault="006802E2" w:rsidP="006802E2">
      <w:pPr>
        <w:spacing w:after="0" w:line="240" w:lineRule="auto"/>
        <w:jc w:val="center"/>
        <w:rPr>
          <w:rFonts w:eastAsia="SimSun" w:cs="Times New Roman"/>
          <w:i/>
          <w:color w:val="000000" w:themeColor="text1"/>
          <w:sz w:val="22"/>
        </w:rPr>
      </w:pPr>
      <w:r w:rsidRPr="0091185D">
        <w:rPr>
          <w:rFonts w:eastAsia="SimSun" w:cs="Times New Roman"/>
          <w:i/>
          <w:color w:val="000000" w:themeColor="text1"/>
          <w:sz w:val="22"/>
        </w:rPr>
        <w:t>National Institute of S</w:t>
      </w:r>
      <w:r>
        <w:rPr>
          <w:rFonts w:eastAsia="SimSun" w:cs="Times New Roman"/>
          <w:i/>
          <w:color w:val="000000" w:themeColor="text1"/>
          <w:sz w:val="22"/>
        </w:rPr>
        <w:t>tandards and Technology (NIST)</w:t>
      </w:r>
    </w:p>
    <w:p w:rsidR="006802E2" w:rsidRDefault="006802E2" w:rsidP="006802E2">
      <w:pPr>
        <w:spacing w:after="0" w:line="240" w:lineRule="auto"/>
        <w:jc w:val="center"/>
        <w:rPr>
          <w:rFonts w:eastAsia="SimSun" w:cs="Times New Roman"/>
          <w:i/>
          <w:color w:val="000000" w:themeColor="text1"/>
          <w:sz w:val="22"/>
        </w:rPr>
      </w:pPr>
      <w:r w:rsidRPr="0091185D">
        <w:rPr>
          <w:rFonts w:eastAsia="SimSun" w:cs="Times New Roman"/>
          <w:i/>
          <w:color w:val="000000" w:themeColor="text1"/>
          <w:sz w:val="22"/>
        </w:rPr>
        <w:t>Boulder, Colorado 80305,</w:t>
      </w:r>
      <w:r>
        <w:rPr>
          <w:rFonts w:eastAsia="SimSun" w:cs="Times New Roman"/>
          <w:i/>
          <w:color w:val="000000" w:themeColor="text1"/>
          <w:sz w:val="22"/>
        </w:rPr>
        <w:t xml:space="preserve"> USA</w:t>
      </w:r>
    </w:p>
    <w:p w:rsidR="006802E2" w:rsidRDefault="006802E2" w:rsidP="006802E2">
      <w:pPr>
        <w:spacing w:after="0" w:line="240" w:lineRule="auto"/>
        <w:ind w:firstLine="0"/>
        <w:rPr>
          <w:rFonts w:eastAsia="SimSun" w:cs="Times New Roman"/>
          <w:i/>
          <w:color w:val="000000" w:themeColor="text1"/>
          <w:sz w:val="22"/>
        </w:rPr>
      </w:pPr>
    </w:p>
    <w:p w:rsidR="006802E2" w:rsidRPr="0091185D" w:rsidRDefault="006802E2" w:rsidP="006802E2">
      <w:pPr>
        <w:spacing w:after="0" w:line="240" w:lineRule="auto"/>
        <w:jc w:val="center"/>
        <w:rPr>
          <w:rFonts w:eastAsia="SimSun" w:cs="Times New Roman"/>
          <w:i/>
          <w:color w:val="000000" w:themeColor="text1"/>
          <w:sz w:val="22"/>
        </w:rPr>
      </w:pPr>
      <w:r>
        <w:rPr>
          <w:rFonts w:eastAsia="Gulim" w:cs="Times New Roman"/>
          <w:bCs/>
          <w:i/>
          <w:color w:val="000000" w:themeColor="text1"/>
          <w:sz w:val="22"/>
          <w:vertAlign w:val="superscript"/>
          <w:lang w:val="en-GB"/>
        </w:rPr>
        <w:t xml:space="preserve">3 </w:t>
      </w:r>
      <w:r w:rsidRPr="0091185D">
        <w:rPr>
          <w:rFonts w:eastAsia="SimSun" w:cs="Times New Roman"/>
          <w:i/>
          <w:color w:val="000000" w:themeColor="text1"/>
          <w:sz w:val="22"/>
        </w:rPr>
        <w:t>Materials Science and Engineering Program,</w:t>
      </w:r>
    </w:p>
    <w:p w:rsidR="006802E2" w:rsidRPr="0091185D" w:rsidRDefault="006802E2" w:rsidP="006802E2">
      <w:pPr>
        <w:spacing w:after="0" w:line="240" w:lineRule="auto"/>
        <w:jc w:val="center"/>
        <w:rPr>
          <w:rFonts w:eastAsia="SimSun" w:cs="Times New Roman"/>
          <w:i/>
          <w:color w:val="000000" w:themeColor="text1"/>
          <w:sz w:val="22"/>
        </w:rPr>
      </w:pPr>
      <w:r w:rsidRPr="0091185D">
        <w:rPr>
          <w:rFonts w:eastAsia="SimSun" w:cs="Times New Roman"/>
          <w:i/>
          <w:color w:val="000000" w:themeColor="text1"/>
          <w:sz w:val="22"/>
        </w:rPr>
        <w:t xml:space="preserve"> University of Colorado, Boulder, CO 80309-0596, USA</w:t>
      </w:r>
      <w:r w:rsidRPr="0091185D">
        <w:rPr>
          <w:rFonts w:eastAsia="SimSun" w:cs="Times New Roman"/>
          <w:i/>
          <w:color w:val="000000" w:themeColor="text1"/>
          <w:sz w:val="22"/>
        </w:rPr>
        <w:t xml:space="preserve"> </w:t>
      </w:r>
    </w:p>
    <w:p w:rsidR="006802E2" w:rsidRPr="0091185D" w:rsidRDefault="006802E2" w:rsidP="006802E2">
      <w:pPr>
        <w:spacing w:after="0" w:line="240" w:lineRule="auto"/>
        <w:jc w:val="center"/>
        <w:rPr>
          <w:rFonts w:eastAsia="SimSun" w:cs="Times New Roman"/>
          <w:i/>
          <w:color w:val="000000" w:themeColor="text1"/>
          <w:sz w:val="22"/>
        </w:rPr>
      </w:pPr>
    </w:p>
    <w:p w:rsidR="006802E2" w:rsidRDefault="006802E2" w:rsidP="007F18D2">
      <w:pPr>
        <w:spacing w:line="360" w:lineRule="auto"/>
        <w:ind w:firstLine="0"/>
        <w:rPr>
          <w:color w:val="000000" w:themeColor="text1"/>
        </w:rPr>
      </w:pPr>
    </w:p>
    <w:p w:rsidR="00F44258" w:rsidRDefault="0060108F" w:rsidP="007F18D2">
      <w:pPr>
        <w:spacing w:line="360" w:lineRule="auto"/>
        <w:ind w:firstLine="0"/>
      </w:pPr>
      <w:r>
        <w:rPr>
          <w:color w:val="000000" w:themeColor="text1"/>
        </w:rPr>
        <w:t>It is commonly believed that t</w:t>
      </w:r>
      <w:r w:rsidRPr="001535B5">
        <w:rPr>
          <w:color w:val="000000" w:themeColor="text1"/>
        </w:rPr>
        <w:t xml:space="preserve">he overall resistance of thin film composite (TFC) membranes is </w:t>
      </w:r>
      <w:r>
        <w:rPr>
          <w:color w:val="000000" w:themeColor="text1"/>
        </w:rPr>
        <w:t xml:space="preserve">dictated by the </w:t>
      </w:r>
      <w:proofErr w:type="spellStart"/>
      <w:r>
        <w:rPr>
          <w:color w:val="000000" w:themeColor="text1"/>
        </w:rPr>
        <w:t>crosslinked</w:t>
      </w:r>
      <w:proofErr w:type="spellEnd"/>
      <w:r>
        <w:rPr>
          <w:color w:val="000000" w:themeColor="text1"/>
        </w:rPr>
        <w:t xml:space="preserve">, ultrathin polyamide barrier layer, while the porous supports merely serve as the mechanical support.  Although this scenario might be true under low </w:t>
      </w:r>
      <w:proofErr w:type="spellStart"/>
      <w:r>
        <w:rPr>
          <w:color w:val="000000" w:themeColor="text1"/>
        </w:rPr>
        <w:t>transmembrane</w:t>
      </w:r>
      <w:proofErr w:type="spellEnd"/>
      <w:r>
        <w:rPr>
          <w:color w:val="000000" w:themeColor="text1"/>
        </w:rPr>
        <w:t xml:space="preserve"> pressure, it becomes questionable under high </w:t>
      </w:r>
      <w:proofErr w:type="spellStart"/>
      <w:r>
        <w:rPr>
          <w:color w:val="000000" w:themeColor="text1"/>
        </w:rPr>
        <w:t>transmembrane</w:t>
      </w:r>
      <w:proofErr w:type="spellEnd"/>
      <w:r>
        <w:rPr>
          <w:color w:val="000000" w:themeColor="text1"/>
        </w:rPr>
        <w:t xml:space="preserve"> pressure.  A highly porous support normally yields under a few </w:t>
      </w:r>
      <w:proofErr w:type="spellStart"/>
      <w:r>
        <w:rPr>
          <w:color w:val="000000" w:themeColor="text1"/>
        </w:rPr>
        <w:t>MPa</w:t>
      </w:r>
      <w:proofErr w:type="spellEnd"/>
      <w:r>
        <w:rPr>
          <w:color w:val="000000" w:themeColor="text1"/>
        </w:rPr>
        <w:t xml:space="preserve"> pressure, which can result in a significant level of compressive strain, and significantly increase the resistance to permeation.  </w:t>
      </w:r>
      <w:r w:rsidRPr="001535B5">
        <w:rPr>
          <w:color w:val="000000" w:themeColor="text1"/>
        </w:rPr>
        <w:t xml:space="preserve">However, </w:t>
      </w:r>
      <w:r>
        <w:rPr>
          <w:color w:val="000000" w:themeColor="text1"/>
        </w:rPr>
        <w:t xml:space="preserve">the influence of </w:t>
      </w:r>
      <w:r w:rsidRPr="001535B5">
        <w:rPr>
          <w:color w:val="000000" w:themeColor="text1"/>
        </w:rPr>
        <w:t xml:space="preserve">deformation of the porous support </w:t>
      </w:r>
      <w:r>
        <w:rPr>
          <w:color w:val="000000" w:themeColor="text1"/>
        </w:rPr>
        <w:t>on</w:t>
      </w:r>
      <w:r w:rsidRPr="001535B5">
        <w:rPr>
          <w:color w:val="000000" w:themeColor="text1"/>
        </w:rPr>
        <w:t xml:space="preserve"> the overall resistance of the TFC membrane</w:t>
      </w:r>
      <w:r>
        <w:rPr>
          <w:color w:val="000000" w:themeColor="text1"/>
        </w:rPr>
        <w:t xml:space="preserve"> remains unclear</w:t>
      </w:r>
      <w:r w:rsidRPr="001535B5">
        <w:rPr>
          <w:color w:val="000000" w:themeColor="text1"/>
        </w:rPr>
        <w:t>.</w:t>
      </w:r>
      <w:r>
        <w:rPr>
          <w:color w:val="000000" w:themeColor="text1"/>
        </w:rPr>
        <w:t xml:space="preserve">  Particularly, it is challenging to determine the strain/deformation of the membrane during active separation processes.  In this s</w:t>
      </w:r>
      <w:r w:rsidRPr="001535B5">
        <w:rPr>
          <w:color w:val="000000" w:themeColor="text1"/>
        </w:rPr>
        <w:t xml:space="preserve">tudy, </w:t>
      </w:r>
      <w:r>
        <w:rPr>
          <w:color w:val="000000" w:themeColor="text1"/>
        </w:rPr>
        <w:t xml:space="preserve">we use </w:t>
      </w:r>
      <w:proofErr w:type="spellStart"/>
      <w:r>
        <w:rPr>
          <w:color w:val="000000" w:themeColor="text1"/>
        </w:rPr>
        <w:t>nanoimprint</w:t>
      </w:r>
      <w:proofErr w:type="spellEnd"/>
      <w:r>
        <w:rPr>
          <w:color w:val="000000" w:themeColor="text1"/>
        </w:rPr>
        <w:t xml:space="preserve"> lithography to achieve precise compressive deformation in commercial TFC membranes.  By adjusting the </w:t>
      </w:r>
      <w:proofErr w:type="spellStart"/>
      <w:r>
        <w:rPr>
          <w:color w:val="000000" w:themeColor="text1"/>
        </w:rPr>
        <w:t>nanoimprint</w:t>
      </w:r>
      <w:proofErr w:type="spellEnd"/>
      <w:r>
        <w:rPr>
          <w:color w:val="000000" w:themeColor="text1"/>
        </w:rPr>
        <w:t xml:space="preserve"> lithography (NIL) conditions, membranes were compressed to strain level up to 60 %.  SEM and AFM measurements showed that the compression had minimum impact on the barrier layer surface morphology and total surface area, and most deformation occurred in the support layers.  DI water permeation measurements revealed that degree of compaction decreases with an increase of strain level.  Most significantly, the intrinsic membrane resistance </w:t>
      </w:r>
      <w:r w:rsidRPr="00032A16">
        <w:t>showed negligible changes at strain level</w:t>
      </w:r>
      <w:r>
        <w:t>s</w:t>
      </w:r>
      <w:r w:rsidRPr="00032A16">
        <w:t xml:space="preserve"> lower than 30 % - 40 %, but increased exponentially </w:t>
      </w:r>
      <w:r w:rsidR="005C488A">
        <w:t>at higher strain level</w:t>
      </w:r>
      <w:r w:rsidR="007F18D2">
        <w:t xml:space="preserve"> </w:t>
      </w:r>
      <w:r w:rsidR="006802E2">
        <w:t xml:space="preserve">of </w:t>
      </w:r>
      <w:r w:rsidR="007F18D2">
        <w:t>40</w:t>
      </w:r>
      <w:r w:rsidR="006802E2">
        <w:t xml:space="preserve"> </w:t>
      </w:r>
      <w:r w:rsidR="007F18D2">
        <w:t>% - 60</w:t>
      </w:r>
      <w:r w:rsidR="006802E2">
        <w:t xml:space="preserve"> </w:t>
      </w:r>
      <w:bookmarkStart w:id="2" w:name="_GoBack"/>
      <w:bookmarkEnd w:id="2"/>
      <w:r w:rsidR="007F18D2">
        <w:t>%</w:t>
      </w:r>
      <w:r w:rsidR="005C488A">
        <w:t xml:space="preserve">. </w:t>
      </w:r>
      <w:r>
        <w:t xml:space="preserve">Using a resistance-in-series model, the strain-dependency of the TFC membrane resistance </w:t>
      </w:r>
      <w:r w:rsidR="007F18D2">
        <w:t>was</w:t>
      </w:r>
      <w:r>
        <w:t xml:space="preserve"> qualitatively described</w:t>
      </w:r>
      <w:r w:rsidRPr="00032A16">
        <w:t>.</w:t>
      </w:r>
    </w:p>
    <w:sectPr w:rsidR="00F442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ulim">
    <w:altName w:val="굴림"/>
    <w:panose1 w:val="020B0600000101010101"/>
    <w:charset w:val="81"/>
    <w:family w:val="roman"/>
    <w:notTrueType/>
    <w:pitch w:val="fixed"/>
    <w:sig w:usb0="00000001" w:usb1="09060000" w:usb2="00000010" w:usb3="00000000" w:csb0="0008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08F"/>
    <w:rsid w:val="00234D72"/>
    <w:rsid w:val="003010A6"/>
    <w:rsid w:val="003E23C6"/>
    <w:rsid w:val="00595AF9"/>
    <w:rsid w:val="005C488A"/>
    <w:rsid w:val="0060108F"/>
    <w:rsid w:val="006802E2"/>
    <w:rsid w:val="007F18D2"/>
    <w:rsid w:val="00EB1C9A"/>
    <w:rsid w:val="00F442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BE0ED0-1F50-4968-9566-DE18A2FEE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108F"/>
    <w:pPr>
      <w:spacing w:after="200" w:line="480" w:lineRule="auto"/>
      <w:ind w:firstLine="360"/>
      <w:jc w:val="both"/>
    </w:pPr>
    <w:rPr>
      <w:rFonts w:ascii="Times New Roman" w:hAnsi="Times New Roman"/>
      <w:sz w:val="24"/>
    </w:rPr>
  </w:style>
  <w:style w:type="paragraph" w:styleId="Heading1">
    <w:name w:val="heading 1"/>
    <w:basedOn w:val="Normal"/>
    <w:next w:val="Normal"/>
    <w:link w:val="Heading1Char"/>
    <w:uiPriority w:val="9"/>
    <w:qFormat/>
    <w:rsid w:val="00234D72"/>
    <w:pPr>
      <w:keepNext/>
      <w:keepLines/>
      <w:spacing w:before="240" w:after="0" w:line="259" w:lineRule="auto"/>
      <w:ind w:firstLine="0"/>
      <w:jc w:val="left"/>
      <w:outlineLvl w:val="0"/>
    </w:pPr>
    <w:rPr>
      <w:rFonts w:eastAsiaTheme="majorEastAsia" w:cstheme="majorBidi"/>
      <w: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4D72"/>
    <w:rPr>
      <w:rFonts w:ascii="Times New Roman" w:eastAsiaTheme="majorEastAsia" w:hAnsi="Times New Roman" w:cstheme="majorBidi"/>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331</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Masoud Aghajani</dc:creator>
  <cp:keywords/>
  <dc:description/>
  <cp:lastModifiedBy>Masoud Aghajani</cp:lastModifiedBy>
  <cp:revision>2</cp:revision>
  <dcterms:created xsi:type="dcterms:W3CDTF">2018-03-15T05:34:00Z</dcterms:created>
  <dcterms:modified xsi:type="dcterms:W3CDTF">2018-03-15T06:27:00Z</dcterms:modified>
</cp:coreProperties>
</file>